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</w:pPr>
      <w:r>
        <w:rPr>
          <w:i/>
          <w:color w:val="6B7280"/>
          <w:sz w:val="18"/>
        </w:rPr>
        <w:t>Wzór tabeli w stylu APA 7 (konwencja z kropką dziesiętną). Liczby pochodzą z przykładowego badania (N = 303) — zastąp je własnymi wynikami, a następnie usuń ten akapit. Tabela ma tylko linie poziome; zachowaj ją przy edycji.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1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Porównanie kobiet i mężczyzn w zakresie zmiennych modelu akceptacji technologii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37"/>
        <w:gridCol w:w="737"/>
        <w:gridCol w:w="737"/>
        <w:gridCol w:w="737"/>
        <w:gridCol w:w="793"/>
        <w:gridCol w:w="793"/>
        <w:gridCol w:w="907"/>
        <w:gridCol w:w="907"/>
        <w:gridCol w:w="1814"/>
      </w:tblGrid>
      <w:tr>
        <w:tc>
          <w:tcPr>
            <w:tcW w:type="dxa" w:w="2381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Zmienna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Kobiety (</w:t>
            </w: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n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= 173)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Mężczyźni (</w:t>
            </w: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n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= 130)</w:t>
            </w:r>
          </w:p>
        </w:tc>
        <w:tc>
          <w:tcPr>
            <w:tcW w:type="dxa" w:w="794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t</w:t>
            </w:r>
          </w:p>
        </w:tc>
        <w:tc>
          <w:tcPr>
            <w:tcW w:type="dxa" w:w="794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df</w:t>
            </w:r>
          </w:p>
        </w:tc>
        <w:tc>
          <w:tcPr>
            <w:tcW w:type="dxa" w:w="90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p</w:t>
            </w:r>
          </w:p>
        </w:tc>
        <w:tc>
          <w:tcPr>
            <w:tcW w:type="dxa" w:w="90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d Cohena</w:t>
            </w:r>
          </w:p>
        </w:tc>
        <w:tc>
          <w:tcPr>
            <w:tcW w:type="dxa" w:w="1814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95% CI dla </w:t>
            </w:r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d</w:t>
            </w:r>
          </w:p>
        </w:tc>
      </w:tr>
      <w:tr>
        <w:tc>
          <w:tcPr>
            <w:tcW w:type="dxa" w:w="1301"/>
            <w:vMerge/>
          </w:tcPr>
          <w:p/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SD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SD</w:t>
            </w:r>
          </w:p>
        </w:tc>
        <w:tc>
          <w:tcPr>
            <w:tcW w:type="dxa" w:w="1301"/>
            <w:vMerge/>
          </w:tcPr>
          <w:p/>
        </w:tc>
        <w:tc>
          <w:tcPr>
            <w:tcW w:type="dxa" w:w="1301"/>
            <w:vMerge/>
          </w:tcPr>
          <w:p/>
        </w:tc>
        <w:tc>
          <w:tcPr>
            <w:tcW w:type="dxa" w:w="1301"/>
            <w:vMerge/>
          </w:tcPr>
          <w:p/>
        </w:tc>
        <w:tc>
          <w:tcPr>
            <w:tcW w:type="dxa" w:w="1301"/>
            <w:vMerge/>
          </w:tcPr>
          <w:p/>
        </w:tc>
        <w:tc>
          <w:tcPr>
            <w:tcW w:type="dxa" w:w="1301"/>
            <w:vMerge/>
          </w:tcPr>
          <w:p/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Intencja zakupu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2.73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0.95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2.81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1.13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−0.63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250.0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.527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−0.08</w:t>
            </w:r>
          </w:p>
        </w:tc>
        <w:tc>
          <w:tcPr>
            <w:tcW w:type="dxa" w:w="181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[−0.30, 0.15]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Użyteczność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3.18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3.33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0.98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−1.42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247.8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.156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−0.17</w:t>
            </w:r>
          </w:p>
        </w:tc>
        <w:tc>
          <w:tcPr>
            <w:tcW w:type="dxa" w:w="181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[−0.40, 0.06]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Łatwość korzystania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3.52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3.73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0.84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−2.24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260.4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.026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−0.26</w:t>
            </w:r>
          </w:p>
        </w:tc>
        <w:tc>
          <w:tcPr>
            <w:tcW w:type="dxa" w:w="181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[−0.49, −0.04]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Obawy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2.98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0.63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2.53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0.74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5.50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251.9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0.65</w:t>
            </w:r>
          </w:p>
        </w:tc>
        <w:tc>
          <w:tcPr>
            <w:tcW w:type="dxa" w:w="181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[0.42, 0.89]</w:t>
            </w: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Zastosowano test </w:t>
      </w:r>
      <w:r>
        <w:rPr>
          <w:rFonts w:ascii="Times New Roman" w:hAnsi="Times New Roman" w:eastAsia="Times New Roman"/>
          <w:b w:val="0"/>
          <w:i/>
          <w:sz w:val="20"/>
        </w:rPr>
        <w:t>t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Welcha (bez założenia równości wariancji), stąd ułamkowe stopnie swobody. Dodatnie wartości </w:t>
      </w:r>
      <w:r>
        <w:rPr>
          <w:rFonts w:ascii="Times New Roman" w:hAnsi="Times New Roman" w:eastAsia="Times New Roman"/>
          <w:b w:val="0"/>
          <w:i/>
          <w:sz w:val="20"/>
        </w:rPr>
        <w:t>t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i </w:t>
      </w:r>
      <w:r>
        <w:rPr>
          <w:rFonts w:ascii="Times New Roman" w:hAnsi="Times New Roman" w:eastAsia="Times New Roman"/>
          <w:b w:val="0"/>
          <w:i/>
          <w:sz w:val="20"/>
        </w:rPr>
        <w:t>d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oznaczają wyższe wyniki kobiet; </w:t>
      </w:r>
      <w:r>
        <w:rPr>
          <w:rFonts w:ascii="Times New Roman" w:hAnsi="Times New Roman" w:eastAsia="Times New Roman"/>
          <w:b w:val="0"/>
          <w:i/>
          <w:sz w:val="20"/>
        </w:rPr>
        <w:t>d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obliczono z łączonego odchylenia standardowego.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2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Porównanie ocen łatwości korzystania i użyteczności (pomiary zależne)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37"/>
        <w:gridCol w:w="737"/>
        <w:gridCol w:w="737"/>
        <w:gridCol w:w="1587"/>
        <w:gridCol w:w="793"/>
        <w:gridCol w:w="907"/>
        <w:gridCol w:w="737"/>
      </w:tblGrid>
      <w:tr>
        <w:tc>
          <w:tcPr>
            <w:tcW w:type="dxa" w:w="2381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Zmienna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SD</w:t>
            </w:r>
          </w:p>
        </w:tc>
        <w:tc>
          <w:tcPr>
            <w:tcW w:type="dxa" w:w="158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Różnica</w:t>
            </w:r>
          </w:p>
        </w:tc>
        <w:tc>
          <w:tcPr>
            <w:tcW w:type="dxa" w:w="794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t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(302)</w:t>
            </w:r>
          </w:p>
        </w:tc>
        <w:tc>
          <w:tcPr>
            <w:tcW w:type="dxa" w:w="90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p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d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z</w:t>
            </w:r>
          </w:p>
        </w:tc>
      </w:tr>
      <w:tr>
        <w:tc>
          <w:tcPr>
            <w:tcW w:type="dxa" w:w="1626"/>
            <w:vMerge/>
          </w:tcPr>
          <w:p/>
        </w:tc>
        <w:tc>
          <w:tcPr>
            <w:tcW w:type="dxa" w:w="1626"/>
            <w:vMerge/>
          </w:tcPr>
          <w:p/>
        </w:tc>
        <w:tc>
          <w:tcPr>
            <w:tcW w:type="dxa" w:w="1626"/>
            <w:vMerge/>
          </w:tcPr>
          <w:p/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0"/>
              </w:rPr>
              <w:t>M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  <w:vertAlign w:val="subscript"/>
              </w:rPr>
              <w:t>diff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95% CI</w:t>
            </w:r>
          </w:p>
        </w:tc>
        <w:tc>
          <w:tcPr>
            <w:tcW w:type="dxa" w:w="1626"/>
            <w:vMerge/>
          </w:tcPr>
          <w:p/>
        </w:tc>
        <w:tc>
          <w:tcPr>
            <w:tcW w:type="dxa" w:w="1626"/>
            <w:vMerge/>
          </w:tcPr>
          <w:p/>
        </w:tc>
        <w:tc>
          <w:tcPr>
            <w:tcW w:type="dxa" w:w="1626"/>
            <w:vMerge/>
          </w:tcPr>
          <w:p/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Łatwość korzystania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3.61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0.79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0.37</w:t>
            </w: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[0.27, 0.47]</w:t>
            </w: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7.46</w:t>
            </w: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 xml:space="preserve"> .001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0.43</w:t>
            </w:r>
          </w:p>
        </w:tc>
      </w:tr>
      <w:tr>
        <w:tc>
          <w:tcPr>
            <w:tcW w:type="dxa" w:w="2381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Użyteczność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3.24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0.89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158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94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90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Obie skale mierzono na skali 1–5 u tych samych osób; korelacja między pomiarami </w:t>
      </w:r>
      <w:r>
        <w:rPr>
          <w:rFonts w:ascii="Times New Roman" w:hAnsi="Times New Roman" w:eastAsia="Times New Roman"/>
          <w:b w:val="0"/>
          <w:i/>
          <w:sz w:val="20"/>
        </w:rPr>
        <w:t>r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.48. </w:t>
      </w:r>
      <w:r>
        <w:rPr>
          <w:rFonts w:ascii="Times New Roman" w:hAnsi="Times New Roman" w:eastAsia="Times New Roman"/>
          <w:b w:val="0"/>
          <w:i/>
          <w:sz w:val="20"/>
        </w:rPr>
        <w:t>M</w:t>
      </w:r>
      <w:r>
        <w:rPr>
          <w:rFonts w:ascii="Times New Roman" w:hAnsi="Times New Roman" w:eastAsia="Times New Roman"/>
          <w:b w:val="0"/>
          <w:i w:val="0"/>
          <w:sz w:val="20"/>
          <w:vertAlign w:val="subscript"/>
        </w:rPr>
        <w:t>diff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różnica średnich (łatwość − użyteczność); </w:t>
      </w:r>
      <w:r>
        <w:rPr>
          <w:rFonts w:ascii="Times New Roman" w:hAnsi="Times New Roman" w:eastAsia="Times New Roman"/>
          <w:b w:val="0"/>
          <w:i/>
          <w:sz w:val="20"/>
        </w:rPr>
        <w:t>d</w:t>
      </w:r>
      <w:r>
        <w:rPr>
          <w:rFonts w:ascii="Times New Roman" w:hAnsi="Times New Roman" w:eastAsia="Times New Roman"/>
          <w:b w:val="0"/>
          <w:i w:val="0"/>
          <w:sz w:val="20"/>
          <w:vertAlign w:val="subscript"/>
        </w:rPr>
        <w:t>z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średnia różnica podzielona przez odchylenie standardowe różnic, 95% CI [0.31, 0.55].</w:t>
      </w:r>
    </w:p>
    <w:sectPr w:rsidR="00FC693F" w:rsidRPr="0006063C" w:rsidSect="00034616">
      <w:footerReference w:type="default" r:id="rId9"/>
      <w:pgSz w:w="15840" w:h="12240" w:orient="landscape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Times New Roman" w:hAnsi="Times New Roman"/>
        <w:color w:val="6B7280"/>
        <w:sz w:val="16"/>
      </w:rPr>
      <w:t>Tabela testu t APA · Wzór przygotowany przez Metodolog.pl — www.metodolog.pl/slownik/tabela-apa-test-t/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