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</w:pPr>
      <w:r>
        <w:rPr>
          <w:i/>
          <w:color w:val="6B7280"/>
          <w:sz w:val="18"/>
        </w:rPr>
        <w:t>Wzór tabeli w stylu APA 7 (konwencja z kropką dziesiętną). Liczby pochodzą z przykładowego badania (N = 303) — zastąp je własnymi wynikami, a następnie usuń ten akapit. Tabela ma tylko linie poziome; zachowaj ją przy edycji.</w:t>
      </w:r>
    </w:p>
    <w:p>
      <w:pPr>
        <w:spacing w:before="240" w:after="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Tabela 1</w:t>
      </w:r>
    </w:p>
    <w:p>
      <w:pPr>
        <w:spacing w:before="0" w:after="120" w:line="240" w:lineRule="auto"/>
      </w:pPr>
      <w:r>
        <w:rPr>
          <w:rFonts w:ascii="Times New Roman" w:hAnsi="Times New Roman" w:eastAsia="Times New Roman"/>
          <w:b w:val="0"/>
          <w:i/>
          <w:sz w:val="24"/>
        </w:rPr>
        <w:t>Statystyki opisowe zmiennych modelu akceptacji technologii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1020"/>
        <w:gridCol w:w="1247"/>
        <w:gridCol w:w="793"/>
        <w:gridCol w:w="737"/>
        <w:gridCol w:w="793"/>
        <w:gridCol w:w="1134"/>
        <w:gridCol w:w="1020"/>
        <w:gridCol w:w="737"/>
      </w:tblGrid>
      <w:tr>
        <w:tc>
          <w:tcPr>
            <w:tcW w:type="dxa" w:w="2381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Zmienna</w:t>
            </w:r>
          </w:p>
        </w:tc>
        <w:tc>
          <w:tcPr>
            <w:tcW w:type="dxa" w:w="1020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Możliwy zakres</w:t>
            </w:r>
          </w:p>
        </w:tc>
        <w:tc>
          <w:tcPr>
            <w:tcW w:type="dxa" w:w="124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Min–Maks</w:t>
            </w:r>
          </w:p>
        </w:tc>
        <w:tc>
          <w:tcPr>
            <w:tcW w:type="dxa" w:w="794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M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SD</w:t>
            </w:r>
          </w:p>
        </w:tc>
        <w:tc>
          <w:tcPr>
            <w:tcW w:type="dxa" w:w="794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Mdn</w:t>
            </w:r>
          </w:p>
        </w:tc>
        <w:tc>
          <w:tcPr>
            <w:tcW w:type="dxa" w:w="1134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Skośność</w:t>
            </w:r>
          </w:p>
        </w:tc>
        <w:tc>
          <w:tcPr>
            <w:tcW w:type="dxa" w:w="1020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Kurtoza</w:t>
            </w:r>
          </w:p>
        </w:tc>
        <w:tc>
          <w:tcPr>
            <w:tcW w:type="dxa" w:w="737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α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Łatwość korzystania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1–5</w:t>
            </w:r>
          </w:p>
        </w:tc>
        <w:tc>
          <w:tcPr>
            <w:tcW w:type="dxa" w:w="124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1.00–5.00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3.61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0.79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3.75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−0.52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0.51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.90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Użyteczność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1–5</w:t>
            </w:r>
          </w:p>
        </w:tc>
        <w:tc>
          <w:tcPr>
            <w:tcW w:type="dxa" w:w="124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1.00–5.00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3.24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0.89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3.25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−0.32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−0.05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.87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Intencja zakupu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1–5</w:t>
            </w:r>
          </w:p>
        </w:tc>
        <w:tc>
          <w:tcPr>
            <w:tcW w:type="dxa" w:w="124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1.00–5.00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2.76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1.03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2.75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0.03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−0.68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.87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Obawy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1–4</w:t>
            </w:r>
          </w:p>
        </w:tc>
        <w:tc>
          <w:tcPr>
            <w:tcW w:type="dxa" w:w="124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1.00–4.00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2.79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0.71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2.80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−0.31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−0.57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—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Cele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1–4</w:t>
            </w:r>
          </w:p>
        </w:tc>
        <w:tc>
          <w:tcPr>
            <w:tcW w:type="dxa" w:w="124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1.00–4.00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2.15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0.74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2.00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0.45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−0.21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—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Wiek (lata)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—</w:t>
            </w:r>
          </w:p>
        </w:tc>
        <w:tc>
          <w:tcPr>
            <w:tcW w:type="dxa" w:w="124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20–51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27.52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5.87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26.00</w:t>
            </w:r>
          </w:p>
        </w:tc>
        <w:tc>
          <w:tcPr>
            <w:tcW w:type="dxa" w:w="113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1.47</w:t>
            </w:r>
          </w:p>
        </w:tc>
        <w:tc>
          <w:tcPr>
            <w:tcW w:type="dxa" w:w="1020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1.86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—</w:t>
            </w:r>
          </w:p>
        </w:tc>
      </w:tr>
    </w:tbl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/>
          <w:sz w:val="20"/>
        </w:rPr>
        <w:t>Uwaga.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</w:t>
      </w:r>
      <w:r>
        <w:rPr>
          <w:rFonts w:ascii="Times New Roman" w:hAnsi="Times New Roman" w:eastAsia="Times New Roman"/>
          <w:b w:val="0"/>
          <w:i/>
          <w:sz w:val="20"/>
        </w:rPr>
        <w:t>N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303. Wyniki skal to średnie z odpowiedzi na pozycje; wyższe wartości oznaczają wyższy poziom zmiennej. Skośność i kurtozę (kurtoza nadwyżkowa) obliczono tak jak w SPSS; </w:t>
      </w:r>
      <w:r>
        <w:rPr>
          <w:rFonts w:ascii="Times New Roman" w:hAnsi="Times New Roman" w:eastAsia="Times New Roman"/>
          <w:b w:val="0"/>
          <w:i/>
          <w:sz w:val="20"/>
        </w:rPr>
        <w:t>SE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skośności = 0.14, </w:t>
      </w:r>
      <w:r>
        <w:rPr>
          <w:rFonts w:ascii="Times New Roman" w:hAnsi="Times New Roman" w:eastAsia="Times New Roman"/>
          <w:b w:val="0"/>
          <w:i/>
          <w:sz w:val="20"/>
        </w:rPr>
        <w:t>SE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kurtozy = 0.28. α = alfa Cronbacha; dla obaw i celów dostępne były wyłącznie wyniki ogólne, dlatego nie podano rzetelności.</w:t>
      </w:r>
    </w:p>
    <w:sectPr w:rsidR="00FC693F" w:rsidRPr="0006063C" w:rsidSect="00034616">
      <w:footerReference w:type="default" r:id="rId9"/>
      <w:pgSz w:w="15840" w:h="12240" w:orient="landscape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Times New Roman" w:hAnsi="Times New Roman"/>
        <w:color w:val="6B7280"/>
        <w:sz w:val="16"/>
      </w:rPr>
      <w:t>Tabela statystyk opisowych APA · Wzór przygotowany przez Metodolog.pl — www.metodolog.pl/slownik/tabela-apa-statystyki-opisowe/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