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Wyniki regresji liniowej wielokrotnej dla intencji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6"/>
        <w:gridCol w:w="850"/>
        <w:gridCol w:w="737"/>
        <w:gridCol w:w="850"/>
        <w:gridCol w:w="737"/>
        <w:gridCol w:w="850"/>
        <w:gridCol w:w="850"/>
        <w:gridCol w:w="975"/>
      </w:tblGrid>
      <w:tr>
        <w:tc>
          <w:tcPr>
            <w:tcW w:type="dxa" w:w="259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Predyktor</w:t>
            </w:r>
          </w:p>
        </w:tc>
        <w:tc>
          <w:tcPr>
            <w:tcW w:type="dxa" w:w="850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b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SE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95% CI dla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b</w:t>
            </w:r>
          </w:p>
        </w:tc>
        <w:tc>
          <w:tcPr>
            <w:tcW w:type="dxa" w:w="850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β</w:t>
            </w:r>
          </w:p>
        </w:tc>
        <w:tc>
          <w:tcPr>
            <w:tcW w:type="dxa" w:w="850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t</w:t>
            </w:r>
          </w:p>
        </w:tc>
        <w:tc>
          <w:tcPr>
            <w:tcW w:type="dxa" w:w="975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p</w:t>
            </w:r>
          </w:p>
        </w:tc>
      </w:tr>
      <w:tr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LL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UL</w:t>
            </w:r>
          </w:p>
        </w:tc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Stała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0.13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0.33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−0.51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0.78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0.41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.682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Łatwość korzystania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0.13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0.02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0.36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.723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Użyteczność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0.70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0.50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9.48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Obawy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−0.21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0.03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−1.45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.149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Cele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0.07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6.60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.59, skorygowane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.58,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(4, 298) = 106.68, 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 </w:t>
      </w:r>
      <w:r>
        <w:rPr>
          <w:rFonts w:ascii="Times New Roman" w:hAnsi="Times New Roman" w:eastAsia="Times New Roman"/>
          <w:b w:val="0"/>
          <w:i/>
          <w:sz w:val="20"/>
        </w:rPr>
        <w:t>b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współczynnik niestandaryzowany; β = współczynnik standaryzowany; </w:t>
      </w:r>
      <w:r>
        <w:rPr>
          <w:rFonts w:ascii="Times New Roman" w:hAnsi="Times New Roman" w:eastAsia="Times New Roman"/>
          <w:b w:val="0"/>
          <w:i/>
          <w:sz w:val="20"/>
        </w:rPr>
        <w:t>LL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i </w:t>
      </w:r>
      <w:r>
        <w:rPr>
          <w:rFonts w:ascii="Times New Roman" w:hAnsi="Times New Roman" w:eastAsia="Times New Roman"/>
          <w:b w:val="0"/>
          <w:i/>
          <w:sz w:val="20"/>
        </w:rPr>
        <w:t>UL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dolna i górna granica przedziału ufności. Współczynniki VIF mieściły się w zakresie 1.30–2.01.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2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Hierarchiczna regresja liniowa: predyktory intencji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6"/>
        <w:gridCol w:w="850"/>
        <w:gridCol w:w="737"/>
        <w:gridCol w:w="850"/>
        <w:gridCol w:w="975"/>
        <w:gridCol w:w="737"/>
        <w:gridCol w:w="1099"/>
      </w:tblGrid>
      <w:tr>
        <w:tc>
          <w:tcPr>
            <w:tcW w:type="dxa" w:w="259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Krok i predyktor</w:t>
            </w:r>
          </w:p>
        </w:tc>
        <w:tc>
          <w:tcPr>
            <w:tcW w:type="dxa" w:w="85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b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SE</w:t>
            </w:r>
          </w:p>
        </w:tc>
        <w:tc>
          <w:tcPr>
            <w:tcW w:type="dxa" w:w="85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β</w:t>
            </w:r>
          </w:p>
        </w:tc>
        <w:tc>
          <w:tcPr>
            <w:tcW w:type="dxa" w:w="975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p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  <w:vertAlign w:val="superscript"/>
              </w:rPr>
              <w:t>2</w:t>
            </w:r>
          </w:p>
        </w:tc>
        <w:tc>
          <w:tcPr>
            <w:tcW w:type="dxa" w:w="110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Δ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  <w:vertAlign w:val="superscript"/>
              </w:rPr>
              <w:t>2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Krok 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.00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.00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Płeć (mężczyzna)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0.12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0.04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.529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Wiek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0.02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.700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Krok 2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.52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.52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  <w:vertAlign w:val="superscript"/>
              </w:rPr>
              <w:t>***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Płeć (mężczyzna)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0.08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−0.03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.516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Wiek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0.04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.297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Łatwość korzystania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.780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Użyteczność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0.05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0.72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Krok 3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.59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.07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  <w:vertAlign w:val="superscript"/>
              </w:rPr>
              <w:t>***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Płeć (mężczyzna)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0.08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−0.03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.504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Wiek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0.05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.147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Łatwość korzystania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0.02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.637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Użyteczność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0.50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Obawy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−0.10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−0.07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.110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Cele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0.07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0.31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Płeć zakodowano: 0 = kobieta, 1 = mężczyzna. Zmiana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w kroku 2: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(2, 298) = 161.71; w kroku 3: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>(2, 296) = 25.71.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.05. 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.01. ***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regresji APA · Wzór przygotowany przez Metodolog.pl — www.metodolog.pl/slownik/tabela-apa-regresja/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