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Regresja logistyczna: predyktory co najmniej umiarkowanej intencji zakupu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6"/>
        <w:gridCol w:w="850"/>
        <w:gridCol w:w="737"/>
        <w:gridCol w:w="850"/>
        <w:gridCol w:w="975"/>
        <w:gridCol w:w="850"/>
        <w:gridCol w:w="737"/>
        <w:gridCol w:w="737"/>
      </w:tblGrid>
      <w:tr>
        <w:tc>
          <w:tcPr>
            <w:tcW w:type="dxa" w:w="259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Predyktor</w:t>
            </w:r>
          </w:p>
        </w:tc>
        <w:tc>
          <w:tcPr>
            <w:tcW w:type="dxa" w:w="850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B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SE</w:t>
            </w:r>
          </w:p>
        </w:tc>
        <w:tc>
          <w:tcPr>
            <w:tcW w:type="dxa" w:w="850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Wald</w:t>
            </w:r>
          </w:p>
        </w:tc>
        <w:tc>
          <w:tcPr>
            <w:tcW w:type="dxa" w:w="975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p</w:t>
            </w:r>
          </w:p>
        </w:tc>
        <w:tc>
          <w:tcPr>
            <w:tcW w:type="dxa" w:w="850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OR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95% CI dla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OR</w:t>
            </w:r>
          </w:p>
        </w:tc>
      </w:tr>
      <w:tr>
        <w:tc>
          <w:tcPr>
            <w:tcW w:type="dxa" w:w="1176"/>
            <w:vMerge/>
          </w:tcPr>
          <w:p/>
        </w:tc>
        <w:tc>
          <w:tcPr>
            <w:tcW w:type="dxa" w:w="1176"/>
            <w:vMerge/>
          </w:tcPr>
          <w:p/>
        </w:tc>
        <w:tc>
          <w:tcPr>
            <w:tcW w:type="dxa" w:w="1176"/>
            <w:vMerge/>
          </w:tcPr>
          <w:p/>
        </w:tc>
        <w:tc>
          <w:tcPr>
            <w:tcW w:type="dxa" w:w="1176"/>
            <w:vMerge/>
          </w:tcPr>
          <w:p/>
        </w:tc>
        <w:tc>
          <w:tcPr>
            <w:tcW w:type="dxa" w:w="1176"/>
            <w:vMerge/>
          </w:tcPr>
          <w:p/>
        </w:tc>
        <w:tc>
          <w:tcPr>
            <w:tcW w:type="dxa" w:w="1176"/>
            <w:vMerge/>
          </w:tcPr>
          <w:p/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LL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UL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Stała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−6.59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1.49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19.44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Łatwość korzystania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−0.12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0.24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0.26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.608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0.89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0.56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1.41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Użyteczność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1.68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0.28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35.24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5.37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3.08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9.36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Obawy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−0.20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0.25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0.63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.426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0.51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1.33</w:t>
            </w:r>
          </w:p>
        </w:tc>
      </w:tr>
      <w:tr>
        <w:tc>
          <w:tcPr>
            <w:tcW w:type="dxa" w:w="259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Cele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0.94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0.27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11.98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2.55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1.50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4.34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Zmienna zależna: intencja zakupu ≥ 3 (1;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148) wobec &lt; 3 (0;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155). Model: χ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(4) = 141.22, 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.001;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Nagelkerkego = .50; poprawnie sklasyfikowano 75.9% osób (próg .50). </w:t>
      </w:r>
      <w:r>
        <w:rPr>
          <w:rFonts w:ascii="Times New Roman" w:hAnsi="Times New Roman" w:eastAsia="Times New Roman"/>
          <w:b w:val="0"/>
          <w:i/>
          <w:sz w:val="20"/>
        </w:rPr>
        <w:t>OR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iloraz szans; Wald = statystyka Walda z 1 stopniem swobody.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regresji logistycznej APA · Wzór przygotowany przez Metodolog.pl — www.metodolog.pl/slownik/tabela-apa-regresja-logistyczna/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