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</w:pPr>
      <w:r>
        <w:rPr>
          <w:i/>
          <w:color w:val="6B7280"/>
          <w:sz w:val="18"/>
        </w:rPr>
        <w:t>Wzór tabeli w stylu APA 7 (konwencja z kropką dziesiętną). Liczby pochodzą z przykładowego badania (N = 303) — zastąp je własnymi wynikami, a następnie usuń ten akapit. Tabela ma tylko linie poziome; zachowaj ją przy edycji.</w:t>
      </w:r>
    </w:p>
    <w:p>
      <w:pPr>
        <w:spacing w:before="240" w:after="0" w:line="240" w:lineRule="auto"/>
      </w:pPr>
      <w:r>
        <w:rPr>
          <w:rFonts w:ascii="Times New Roman" w:hAnsi="Times New Roman" w:eastAsia="Times New Roman"/>
          <w:b/>
          <w:i w:val="0"/>
          <w:sz w:val="24"/>
        </w:rPr>
        <w:t>Tabela 1</w:t>
      </w:r>
    </w:p>
    <w:p>
      <w:pPr>
        <w:spacing w:before="0" w:after="120" w:line="240" w:lineRule="auto"/>
      </w:pPr>
      <w:r>
        <w:rPr>
          <w:rFonts w:ascii="Times New Roman" w:hAnsi="Times New Roman" w:eastAsia="Times New Roman"/>
          <w:b w:val="0"/>
          <w:i/>
          <w:sz w:val="24"/>
        </w:rPr>
        <w:t>Mediacyjna rola użyteczności w związku łatwości korzystania z intencją zakupu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218"/>
        <w:gridCol w:w="737"/>
        <w:gridCol w:w="737"/>
        <w:gridCol w:w="850"/>
        <w:gridCol w:w="737"/>
        <w:gridCol w:w="737"/>
        <w:gridCol w:w="975"/>
      </w:tblGrid>
      <w:tr>
        <w:tc>
          <w:tcPr>
            <w:tcW w:type="dxa" w:w="4218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Efekt</w:t>
            </w:r>
          </w:p>
        </w:tc>
        <w:tc>
          <w:tcPr>
            <w:tcW w:type="dxa" w:w="737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2"/>
              </w:rPr>
              <w:t>b</w:t>
            </w:r>
          </w:p>
        </w:tc>
        <w:tc>
          <w:tcPr>
            <w:tcW w:type="dxa" w:w="737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2"/>
              </w:rPr>
              <w:t>SE</w:t>
            </w:r>
          </w:p>
        </w:tc>
        <w:tc>
          <w:tcPr>
            <w:tcW w:type="dxa" w:w="737"/>
            <w:gridSpan w:val="2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95% CI</w:t>
            </w:r>
          </w:p>
        </w:tc>
        <w:tc>
          <w:tcPr>
            <w:tcW w:type="dxa" w:w="737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β</w:t>
            </w:r>
          </w:p>
        </w:tc>
        <w:tc>
          <w:tcPr>
            <w:tcW w:type="dxa" w:w="975"/>
            <w:vMerge w:val="restart"/>
            <w:tcBorders>
              <w:top w:val="single" w:sz="12" w:space="0" w:color="000000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2"/>
              </w:rPr>
              <w:t>p</w:t>
            </w:r>
          </w:p>
        </w:tc>
      </w:tr>
      <w:tr>
        <w:tc>
          <w:tcPr>
            <w:tcW w:type="dxa" w:w="1344"/>
            <w:vMerge/>
          </w:tcPr>
          <w:p/>
        </w:tc>
        <w:tc>
          <w:tcPr>
            <w:tcW w:type="dxa" w:w="1344"/>
            <w:vMerge/>
          </w:tcPr>
          <w:p/>
        </w:tc>
        <w:tc>
          <w:tcPr>
            <w:tcW w:type="dxa" w:w="1344"/>
            <w:vMerge/>
          </w:tcPr>
          <w:p/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2"/>
              </w:rPr>
              <w:t>LL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single" w:sz="8" w:space="0" w:color="000000"/>
              <w:right w:val="none" w:sz="0" w:space="0" w:color="auto"/>
            </w:tcBorders>
          </w:tcPr>
          <w:p>
            <w:pPr>
              <w:jc w:val="center"/>
            </w:pPr>
            <w:r/>
            <w:r>
              <w:rPr>
                <w:rFonts w:ascii="Times New Roman" w:hAnsi="Times New Roman" w:eastAsia="Times New Roman"/>
                <w:b w:val="0"/>
                <w:i/>
                <w:sz w:val="22"/>
              </w:rPr>
              <w:t>UL</w:t>
            </w:r>
          </w:p>
        </w:tc>
        <w:tc>
          <w:tcPr>
            <w:tcW w:type="dxa" w:w="1344"/>
            <w:vMerge/>
          </w:tcPr>
          <w:p/>
        </w:tc>
        <w:tc>
          <w:tcPr>
            <w:tcW w:type="dxa" w:w="1344"/>
            <w:vMerge/>
          </w:tcPr>
          <w:p/>
        </w:tc>
      </w:tr>
      <w:tr>
        <w:tc>
          <w:tcPr>
            <w:tcW w:type="dxa" w:w="421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/>
                <w:sz w:val="22"/>
              </w:rPr>
              <w:t>a</w:t>
            </w: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: łatwość korzystania → użyteczność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0.54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0.06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0.42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0.65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0.48</w:t>
            </w:r>
          </w:p>
        </w:tc>
        <w:tc>
          <w:tcPr>
            <w:tcW w:type="dxa" w:w="97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&lt;</w:t>
            </w: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 xml:space="preserve"> .001</w:t>
            </w:r>
          </w:p>
        </w:tc>
      </w:tr>
      <w:tr>
        <w:tc>
          <w:tcPr>
            <w:tcW w:type="dxa" w:w="421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/>
                <w:sz w:val="22"/>
              </w:rPr>
              <w:t>b</w:t>
            </w: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: użyteczność → intencja zakupu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0.83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0.05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0.73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0.93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0.72</w:t>
            </w:r>
          </w:p>
        </w:tc>
        <w:tc>
          <w:tcPr>
            <w:tcW w:type="dxa" w:w="97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&lt;</w:t>
            </w: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 xml:space="preserve"> .001</w:t>
            </w:r>
          </w:p>
        </w:tc>
      </w:tr>
      <w:tr>
        <w:tc>
          <w:tcPr>
            <w:tcW w:type="dxa" w:w="421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/>
                <w:sz w:val="22"/>
              </w:rPr>
              <w:t>c</w:t>
            </w: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′: efekt bezpośredni (łatwość → intencja)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0.01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0.06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−0.11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0.13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0.01</w:t>
            </w:r>
          </w:p>
        </w:tc>
        <w:tc>
          <w:tcPr>
            <w:tcW w:type="dxa" w:w="97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.872</w:t>
            </w:r>
          </w:p>
        </w:tc>
      </w:tr>
      <w:tr>
        <w:tc>
          <w:tcPr>
            <w:tcW w:type="dxa" w:w="4218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/>
                <w:sz w:val="22"/>
              </w:rPr>
              <w:t>c</w:t>
            </w: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: efekt całkowity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0.46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0.07</w:t>
            </w:r>
          </w:p>
        </w:tc>
        <w:tc>
          <w:tcPr>
            <w:tcW w:type="dxa" w:w="850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0.31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0.60</w:t>
            </w:r>
          </w:p>
        </w:tc>
        <w:tc>
          <w:tcPr>
            <w:tcW w:type="dxa" w:w="73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0.35</w:t>
            </w:r>
          </w:p>
        </w:tc>
        <w:tc>
          <w:tcPr>
            <w:tcW w:type="dxa" w:w="975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&lt;</w:t>
            </w: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 xml:space="preserve"> .001</w:t>
            </w:r>
          </w:p>
        </w:tc>
      </w:tr>
      <w:tr>
        <w:tc>
          <w:tcPr>
            <w:tcW w:type="dxa" w:w="4218"/>
            <w:tcBorders>
              <w:top w:val="single" w:sz="8" w:space="0" w:color="000000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i/>
                <w:sz w:val="22"/>
              </w:rPr>
              <w:t>ab</w:t>
            </w: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: efekt pośredni</w:t>
            </w:r>
          </w:p>
        </w:tc>
        <w:tc>
          <w:tcPr>
            <w:tcW w:type="dxa" w:w="737"/>
            <w:tcBorders>
              <w:top w:val="single" w:sz="8" w:space="0" w:color="000000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0.45</w:t>
            </w:r>
          </w:p>
        </w:tc>
        <w:tc>
          <w:tcPr>
            <w:tcW w:type="dxa" w:w="737"/>
            <w:tcBorders>
              <w:top w:val="single" w:sz="8" w:space="0" w:color="000000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0.05</w:t>
            </w:r>
          </w:p>
        </w:tc>
        <w:tc>
          <w:tcPr>
            <w:tcW w:type="dxa" w:w="850"/>
            <w:tcBorders>
              <w:top w:val="single" w:sz="8" w:space="0" w:color="000000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0.34</w:t>
            </w:r>
          </w:p>
        </w:tc>
        <w:tc>
          <w:tcPr>
            <w:tcW w:type="dxa" w:w="737"/>
            <w:tcBorders>
              <w:top w:val="single" w:sz="8" w:space="0" w:color="000000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0.55</w:t>
            </w:r>
          </w:p>
        </w:tc>
        <w:tc>
          <w:tcPr>
            <w:tcW w:type="dxa" w:w="737"/>
            <w:tcBorders>
              <w:top w:val="single" w:sz="8" w:space="0" w:color="000000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0.35</w:t>
            </w:r>
          </w:p>
        </w:tc>
        <w:tc>
          <w:tcPr>
            <w:tcW w:type="dxa" w:w="975"/>
            <w:tcBorders>
              <w:top w:val="single" w:sz="8" w:space="0" w:color="000000"/>
              <w:left w:val="none" w:sz="0" w:space="0" w:color="auto"/>
              <w:bottom w:val="single" w:sz="12" w:space="0" w:color="000000"/>
              <w:right w:val="none" w:sz="0" w:space="0" w:color="auto"/>
            </w:tcBorders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i w:val="0"/>
                <w:sz w:val="22"/>
              </w:rPr>
              <w:t>—</w:t>
            </w:r>
          </w:p>
        </w:tc>
      </w:tr>
    </w:tbl>
    <w:p>
      <w:pPr>
        <w:spacing w:before="80" w:after="0" w:line="240" w:lineRule="auto"/>
      </w:pPr>
      <w:r>
        <w:rPr>
          <w:rFonts w:ascii="Times New Roman" w:hAnsi="Times New Roman" w:eastAsia="Times New Roman"/>
          <w:b w:val="0"/>
          <w:i/>
          <w:sz w:val="20"/>
        </w:rPr>
        <w:t>Uwaga.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</w:t>
      </w:r>
      <w:r>
        <w:rPr>
          <w:rFonts w:ascii="Times New Roman" w:hAnsi="Times New Roman" w:eastAsia="Times New Roman"/>
          <w:b w:val="0"/>
          <w:i/>
          <w:sz w:val="20"/>
        </w:rPr>
        <w:t>N</w:t>
      </w:r>
      <w:r>
        <w:rPr>
          <w:rFonts w:ascii="Times New Roman" w:hAnsi="Times New Roman" w:eastAsia="Times New Roman"/>
          <w:b w:val="0"/>
          <w:i w:val="0"/>
          <w:sz w:val="20"/>
        </w:rPr>
        <w:t xml:space="preserve"> = 303. Przedziały ufności wyznaczono metodą bootstrap percentylową (5000 prób); dla efektu pośredniego o istotności świadczy przedział ufności niezawierający zera. β = efekt standaryzowany. Model wyjaśniał 23.2% wariancji użyteczności i 51.9% wariancji intencji zakupu.</w:t>
      </w:r>
    </w:p>
    <w:sectPr w:rsidR="00FC693F" w:rsidRPr="0006063C" w:rsidSect="00034616">
      <w:footerReference w:type="default" r:id="rId9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Times New Roman" w:hAnsi="Times New Roman"/>
        <w:color w:val="6B7280"/>
        <w:sz w:val="16"/>
      </w:rPr>
      <w:t>Tabela mediacji APA · Wzór przygotowany przez Metodolog.pl — www.metodolog.pl/slownik/tabela-apa-mediacja/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