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  <w:jc w:val="left"/>
        <w:pBdr>
          <w:bottom w:val="single" w:sz="8" w:space="0" w:color="999999"/>
          <w:top w:val="single" w:sz="8" w:space="0" w:color="999999"/>
          <w:left w:val="single" w:sz="8" w:space="0" w:color="999999"/>
          <w:right w:val="single" w:sz="8" w:space="0" w:color="999999"/>
        </w:pBdr>
        <w:spacing w:after="160" w:before="160" w:line="276"/>
        <w:ind w:left="160" w:right="160" w:firstLine="0" w:firstLineChars="0"/>
        <w:shd w:val="clear" w:color="auto" w:fill="F2F2F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2"/>
          <w:szCs w:val="22"/>
          <w:color w:val="000000"/>
        </w:rPr>
        <w:t xml:space="preserve">Przykład na danych symulowanych – wzór do nauki struktury, nie do kopiowania.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2"/>
          <w:szCs w:val="22"/>
          <w:color w:val="000000"/>
        </w:rPr>
        <w:t xml:space="preserve">Rozdział przygotowano na metodolog.pl jako ilustrację wpisu „Wyniki badań własnych – przykładowy rozdział z komentarzem” (www.metodolog.pl/blog/wyniki-badan-wlasnych-przyklad/). Wszystkie liczby pochodzą z danych symulowanych (180 fikcyjnych osób) i nie opisują prawdziwego badania. Użyj układu, kolejności i sposobu zapisu statystyk, ale opisz własne dane, własne analizy i zastosuj wymagania swojej uczelni (np. przecinek dziesiętny, numeracja, interlinia).</w:t>
      </w:r>
    </w:p>
    <w:p>
      <w:pPr>
        <w:pStyle w:val="Titre1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8"/>
          <w:szCs w:val="28"/>
          <w:color w:val="000000"/>
        </w:rPr>
        <w:t xml:space="preserve">4. Wyniki badań własnych</w:t>
      </w:r>
    </w:p>
    <w:p>
      <w:pPr>
        <w:pStyle w:val="Titre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4.1. Przygotowanie danych i analizy wstępne</w:t>
      </w:r>
    </w:p>
    <w:p>
      <w:pPr>
        <w:pStyle w:val="Titre3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4.1.1. Przygotowanie danych i opis próby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Analizy przeprowadzono w programie R (wersja 4.5.3). Zbiór danych obejmował odpowiedzi 180 osób studiujących, po 60 w każdym z trzech warunków (grupa kontrolna, trening relaksacji, trening uważności). Wszystkie osoby wzięły udział w obu pomiarach, a w zmiennych uwzględnionych w analizach nie było braków danych. Przed obliczeniem wyniku skali stresu przekodowano pozycje 4 i 5, sformułowane odwrotnie; wynik skali obliczono jako średnią sześciu pozycji. Obserwacje odstające wyszukiwano kryterium odległości od mediany większej niż trzy medianowe odchylenia bezwzględne (MAD; Leys i in., 2013). Żaden wynik w zmiennych ilościowych (stres w obu pomiarach, wsparcie społeczne, samoskuteczność) nie przekraczał tego progu (największa odległość wyniosła 2.70 MAD), dlatego w analizach uwzględniono wszystkie 180 osób. Charakterystykę próby przedstawiono w podrozdziale 3.4. Odsetek kobiet był zbliżony w trzech warunkach: 61.7% w grupie kontrolnej, 58.3% w grupie relaksacji i 65.0% w grupie uważności.</w:t>
      </w:r>
    </w:p>
    <w:p>
      <w:pPr>
        <w:pStyle w:val="Titre3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4.1.2. Statystyki opisowe i rzetelność skali stresu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Statystyki opisowe i korelacje głównych zmiennych przedstawiono w Tabeli 1. Średni poziom stresu przed treningiem wyniósł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3.14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0.82), a po czterech tygodniach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2.74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0.92) na skali od 1 do 5. Skośność rozkładów mieściła się w przedziale od −0.20 do 0.14, a kurtoza od −0.81 do −0.25, co wskazuje na rozkłady zbliżone do symetrycznych. Stres przed treningiem był ujemnie skorelowany ze wsparciem społecznym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r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−.38) i samoskutecznością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r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−.53), a wsparcie społeczne – dodatnio z samoskutecznością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r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.40; wszystkie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.001). Rzetelność skali stresu w pierwszym pomiarze była dobra: α = .85, ω = .86.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24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1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Statystyki opisowe i korelacje zmiennych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304"/>
        <w:gridCol w:w="792"/>
        <w:gridCol w:w="720"/>
        <w:gridCol w:w="1368"/>
        <w:gridCol w:w="1008"/>
        <w:gridCol w:w="936"/>
        <w:gridCol w:w="576"/>
        <w:gridCol w:w="576"/>
        <w:gridCol w:w="576"/>
      </w:tblGrid>
      <w:tr>
        <w:trPr>
          <w:trHeight w:val="360" w:hRule="auto"/>
          <w:tblHeader/>
        </w:trPr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Zmienna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M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SD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Zakres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Skośność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Kurtoza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1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2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3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1. Stres przed treningiem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3.14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0.82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1.33–5.00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0.00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−0.81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2. Stres po czterech tygodniach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2.74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0.92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1.00–5.00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0.14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−0.60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.85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/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3. Wsparcie społeczne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5.13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0.98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2.42–7.00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−0.20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−0.25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−.38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—</w:t>
            </w:r>
          </w:p>
        </w:tc>
      </w:tr>
      <w:tr>
        <w:trPr>
          <w:trHeight w:val="360" w:hRule="auto"/>
        </w:trPr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4. Samoskuteczność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28.74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4.32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19.00–40.00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−0.01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−0.37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−.53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−.52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0"/>
                <w:szCs w:val="20"/>
                <w:color w:val="000000"/>
              </w:rPr>
              <w:t xml:space="preserve">.40</w:t>
            </w:r>
          </w:p>
        </w:tc>
      </w:tr>
    </w:tbl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240" w:before="8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N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= 180. Zakresy skal: stres 1–5, wsparcie społeczne 1–7, samoskuteczność 10–40. Zakres to najmniejszy i największy wynik w próbie. Rzetelność skali stresu w pierwszym pomiarze: α = .85, ω = .86. Wszystkie korelacje są istotne statystycznie,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&lt; .001.</w:t>
      </w:r>
    </w:p>
    <w:p>
      <w:pPr>
        <w:pStyle w:val="Titre3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4.1.3. Sprawdzenie założeń analiz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Przed weryfikacją hipotez H1 i H2 sprawdzono założenia jednoczynnikowej analizy wariancji. Wariancje stresu po treningu nie różniły się istotnie między warunkami,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177) = 0.64,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.527 (test Levene’a). Rozkład reszt modelu był zbliżony do normalnego (skośność 0.10, kurtoza −0.61; test Shapiro–Wilka: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W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0.99,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.148). Ponieważ grupy były równoliczne, a wariancje zbliżone, zastosowano klasyczny test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; test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Welcha, który nie zakłada równości wariancji, prowadził do tego samego wniosku,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117.53) = 9.45,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.001. W modelu regresji stresu względem samoskuteczności i wsparcia, użytym w analizie mediacji (H3), reszty miały rozkład zbliżony do normalnego (skośność 0.07, kurtoza −0.47), test Breuscha–Pagana nie wskazał na zmienność wariancji reszt, χ²(1) = 0.09,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.758, współliniowość predyktorów była niska (VIF = 1.19), a największa odległość Cooka wyniosła 0.05.</w:t>
      </w:r>
    </w:p>
    <w:p>
      <w:pPr>
        <w:pStyle w:val="Titre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4.2. Weryfikacja hipotez H1 i H2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Hipotezy H1 i H2 dotyczyły poziomu stresu po czterech tygodniach. Średnie i odchylenia standardowe w trzech warunkach zawiera Tabela 2, a wyniki poszczególnych osób przedstawia Rysunek 1. Warunki różniły się istotnie pod względem stresu po treningu,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177) = 10.09,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.001, η² = .10, 95% CI [.03, .19]. W teście Tukeya stres w grupie treningu uważności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2.37,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0.87) okazał się niższy niż w grupie kontrolnej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3.09,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0.95); różnica wyniosła −0.72 punktu, 95% CI [−1.10, −0.34],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0.79, co jest zgodne z hipotezą H1. Stres w grupie uważności był też niższy niż w grupie treningu relaksacji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2.76,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0.81), z różnicą −0.39 punktu, 95% CI [−0.77, −0.02],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.039,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0.47, zgodnie z hipotezą H2. Między grupą relaksacji a grupą kontrolną nie stwierdzono istotnej różnicy: −0.32 punktu, 95% CI [−0.70, 0.05],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.109,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0.37.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24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2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Stres przed treningiem i po czterech tygodniach w trzech warunkach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2880"/>
        <w:gridCol w:w="1224"/>
        <w:gridCol w:w="1224"/>
        <w:gridCol w:w="1224"/>
        <w:gridCol w:w="1224"/>
        <w:gridCol w:w="1224"/>
      </w:tblGrid>
      <w:tr>
        <w:trPr>
          <w:trHeight w:val="360" w:hRule="auto"/>
          <w:tblHeader/>
        </w:trPr>
        <w:tc>
          <w:tcPr>
            <w:tcBorders>
              <w:bottom w:val="none" w:sz="0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tcBorders>
              <w:bottom w:val="none" w:sz="0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Przed treningiem</w:t>
            </w:r>
          </w:p>
        </w:tc>
        <w:tc>
          <w:tcPr>
            <w:gridSpan w:val="2"/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Po czterech tygodniach</w:t>
            </w:r>
          </w:p>
        </w:tc>
      </w:tr>
      <w:tr>
        <w:trPr>
          <w:trHeight w:val="360" w:hRule="auto"/>
          <w:tblHeader/>
        </w:trPr>
        <w:tc>
          <w:tcPr>
            <w:tcBorders>
              <w:bottom w:val="single" w:sz="6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Warunek</w:t>
            </w:r>
          </w:p>
        </w:tc>
        <w:tc>
          <w:tcPr>
            <w:tcBorders>
              <w:bottom w:val="single" w:sz="6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n</w:t>
            </w:r>
          </w:p>
        </w:tc>
        <w:tc>
          <w:tcPr>
            <w:tcBorders>
              <w:bottom w:val="single" w:sz="6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</w:t>
            </w:r>
          </w:p>
        </w:tc>
        <w:tc>
          <w:tcPr>
            <w:tcBorders>
              <w:bottom w:val="single" w:sz="6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SD</w:t>
            </w:r>
          </w:p>
        </w:tc>
        <w:tc>
          <w:tcPr>
            <w:tcBorders>
              <w:bottom w:val="single" w:sz="6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M</w:t>
            </w:r>
          </w:p>
        </w:tc>
        <w:tc>
          <w:tcPr>
            <w:tcBorders>
              <w:bottom w:val="single" w:sz="6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SD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Grupa kontrolna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3.25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0.88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3.09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a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0.95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Trening relaksacji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3.04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0.72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2.76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0.81</w:t>
            </w:r>
          </w:p>
        </w:tc>
      </w:tr>
      <w:tr>
        <w:trPr>
          <w:trHeight w:val="360" w:hRule="auto"/>
        </w:trPr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Trening uważności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60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3.12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0.85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2.37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vertAlign w:val="superscript"/>
                <w:sz w:val="22"/>
                <w:szCs w:val="22"/>
                <w:color w:val="000000"/>
              </w:rPr>
              <w:t xml:space="preserve">b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2"/>
                <w:szCs w:val="22"/>
                <w:color w:val="000000"/>
              </w:rPr>
              <w:t xml:space="preserve">0.87</w:t>
            </w:r>
          </w:p>
        </w:tc>
      </w:tr>
    </w:tbl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240" w:before="8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Skala stresu 1–5; wyższy wynik oznacza wyższy stres. Średnie po czterech tygodniach oznaczone różnymi literami różnią się istotnie (test Tukeya,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&lt; .05).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24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Rysunek 1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Stres przed treningiem i po czterech tygodniach w trzech warunkach</w:t>
      </w:r>
    </w:p>
    <w:p>
      <w:pPr>
        <w:pStyle w:val="Normal"/>
      </w:pPr>
      <w:r>
        <w:rPr/>
        <w:drawing>
          <wp:inline distT="0" distB="0" distL="0" distR="0">
            <wp:extent cx="5760720" cy="2995574"/>
            <wp:docPr id="1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95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240" w:before="8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Szare linie – wyniki poszczególnych osób; czerwone punkty – średnie; niebieskie słupki – 95% przedziały ufności;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n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= 60 w każdym warunku.</w:t>
      </w:r>
    </w:p>
    <w:p>
      <w:pPr>
        <w:pStyle w:val="Titre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4.3. Weryfikacja hipotezy H3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Zgodnie z pierwszą częścią hipotezy H3 osoby z wyższym wsparciem społecznym deklarowały niższy stres w pierwszym pomiarze,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r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(178) = −.38, 95% CI [−.49, −.24],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.001. Drugą część hipotezy sprawdzono analizą mediacji: modelami regresji metodą najmniejszych kwadratów i bootstrapowym przedziałem ufności dla efektu pośredniego (5000 prób, przedział percentylowy). Współczynniki modelu przedstawia Rysunek 2. Wsparcie społeczne było dodatnio związane z samoskutecznością (ścieżka a: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b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1.757,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0.303, 95% CI [1.160, 2.354],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.001), a samoskuteczność – ujemnie ze stresem po uwzględnieniu wsparcia (ścieżka b: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b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−0.086,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0.013, 95% CI [−0.111, −0.061],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.001). Przedział ufności dla efektu pośredniego nie obejmował zera,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ab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−0.151, 95% CI [−0.218, −0.093], co oznacza istotny efekt pośredni. Istotny pozostał też efekt bezpośredni wsparcia,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c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′ = −0.162,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0.057, 95% CI [−0.274, −0.050],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.005; efekt całkowity wyniósł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c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−0.313,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0.058, 95% CI [−0.428, −0.199],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.001. Oba predyktory wyjaśniały łącznie 31% wariancji stresu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R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² = .31). Wynik jest zgodny z hipotezą H3.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24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Rysunek 2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Model mediacji: wsparcie społeczne, samoskuteczność i stres (pierwszy pomiar)</w:t>
      </w:r>
    </w:p>
    <w:p>
      <w:pPr>
        <w:pStyle w:val="Normal"/>
      </w:pPr>
      <w:r>
        <w:rPr/>
        <w:drawing>
          <wp:inline distT="0" distB="0" distL="0" distR="0">
            <wp:extent cx="5760720" cy="2880360"/>
            <wp:docPr id="3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240" w:before="8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Współczynniki niestandaryzowane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b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z 95% przedziałami ufności. *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&lt; .05. **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&lt; .01. ***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&lt; .001. Przedział dla efektu pośredniego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ab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– bootstrap percentylowy (5000 prób).</w:t>
      </w:r>
    </w:p>
    <w:p>
      <w:pPr>
        <w:pStyle w:val="Titre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4.4. Analizy dodatkowe i eksploracyjne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Analiza wrażliwości. Ponieważ stres mierzono przed treningiem i po nim, wynik dla hipotez H1 i H2 sprawdzono dodatkowo analizą kowariancji (ANCOVA) z wyjściowym poziomem stresu jako zmienną towarzyszącą. Analizy tej nie uwzględniono w planie analiz, dlatego traktowano ją jako analizę wrażliwości. Założenie jednakowych nachyleń linii regresji w grupach było spełnione,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174) = 1.67,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.192. Po uwzględnieniu stresu przed treningiem warunki nadal różniły się istotnie,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176) = 32.98,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.001, η²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vertAlign w:val="subscript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.27, 95% CI [.17, .37]. Średnie skorygowane wyniosły 2.98 w grupie kontrolnej, 2.86 w grupie relaksacji i 2.38 w grupie uważności. Stres w grupie uważności był niższy niż w grupie kontrolnej o 0.59 punktu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.001) i niż w grupie relaksacji o 0.47 punktu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.001), a grupy relaksacji i kontrolna nie różniły się istotnie (różnica 0.12 punktu,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.267; korekta Tukeya). Wnioski dotyczące hipotez H1 i H2 nie zmieniły się.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Analiza eksploracyjna: warunek i płeć. Poza planem analiz sprawdzono, czy efekt warunku zależał od płci. W dwuczynnikowej analizie wariancji (3 warunki × 2 płcie, sumy kwadratów typu III) istotne okazały się efekt główny warunku,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174) = 7.69,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.001, η²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vertAlign w:val="subscript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.08, oraz interakcja warunku z płcią,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174) = 3.66,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.028, η²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vertAlign w:val="subscript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.04; efekt główny płci był nieistotny,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(1, 174) = 1.84,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.177, η²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vertAlign w:val="subscript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.01. Analiza efektów prostych wskazała, że warunek różnicował stres u kobiet,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174) = 12.35,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&lt; .001, a u mężczyzn nie,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F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(2, 174) = 1.95,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.146. Najniższy średni stres miały kobiety po treningu uważności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2.26,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SD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0.90,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n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39), przy czym w grupie uważności było tylko 21 mężczyzn. Wynik ma charakter eksploracyjny i wymaga replikacji.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Analiza eksploracyjna: jakość snu. Ponieważ jakość snu po treningu mierzono jednym pytaniem na skali porządkowej (1–5), warunki porównano testem Kruskala–Wallisa. Różnice były istotne,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H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(2) = 11.14,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.004, ε² = .06. Według testu Dunna z korektą Holma osoby z grupy uważności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4, Q1–Q3: 3–5) oceniały sen lepiej niż osoby z grupy kontrolnej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3, Q1–Q3: 2–4.25;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.014) i z grupy relaksacji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Me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3, Q1–Q3: 2–4;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.007), a grupy kontrolna i relaksacji nie różniły się istotnie (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 = .732).</w:t>
      </w:r>
    </w:p>
    <w:p>
      <w:pPr>
        <w:pStyle w:val="Titre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4.5. Podsumowanie wyników</w:t>
      </w:r>
    </w:p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60"/>
        <w:ind w:left="0" w:right="0" w:firstLine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Wyniki weryfikacji hipotez zestawiono w Tabeli 3. Wszystkie trzy hipotezy znalazły potwierdzenie w danych: po czterech tygodniach poziom stresu w grupie treningu uważności był niższy niż w grupie kontrolnej (H1) i w grupie treningu relaksacji (H2), a efekt pośredni wsparcia społecznego przez samoskuteczność był istotny (H3). Trening relaksacji nie różnił się istotnie od braku treningu. Analizy eksploracyjne, które wymagają potwierdzenia w kolejnych badaniach, wskazały, że różnice między warunkami dotyczyły głównie kobiet, a osoby z grupy uważności oceniały swój sen lepiej niż osoby z pozostałych grup.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24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Tabela 3</w:t>
      </w:r>
    </w:p>
    <w:p>
      <w:pPr>
        <w:pStyle w:val="Normal"/>
        <w:jc w:val="left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Podsumowanie weryfikacji hipotez</w:t>
      </w:r>
    </w:p>
    <w:tbl xmlns:a="http://schemas.openxmlformats.org/drawingml/2006/main" xmlns:pic="http://schemas.openxmlformats.org/drawingml/2006/picture">
      <w:tblPr>
        <w:tblLayout w:type="fixed"/>
        <w:jc w:val="start"/>
        <w:tblLook w:firstRow="1" w:lastRow="0" w:firstColumn="0" w:lastColumn="0" w:noHBand="0" w:noVBand="1"/>
      </w:tblPr>
      <w:tblGrid>
        <w:gridCol w:w="3312"/>
        <w:gridCol w:w="1800"/>
        <w:gridCol w:w="2376"/>
        <w:gridCol w:w="1512"/>
      </w:tblGrid>
      <w:tr>
        <w:trPr>
          <w:trHeight w:val="360" w:hRule="auto"/>
          <w:tblHeader/>
        </w:trPr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Hipoteza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Analiza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Najważniejszy wynik</w:t>
            </w:r>
          </w:p>
        </w:tc>
        <w:tc>
          <w:tcPr>
            <w:tcBorders>
              <w:bottom w:val="single" w:sz="6" w:space="0" w:color="000000"/>
              <w:top w:val="single" w:sz="1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Decyzja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H1. Po czterech tygodniach stres w grupie treningu uważności będzie niższy niż w grupie kontrolnej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ANOVA, test Tukeya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różnica = −0.72, </w:t>
            </w: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&lt; .001, </w:t>
            </w: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= 0.79</w:t>
            </w:r>
          </w:p>
        </w:tc>
        <w:tc>
          <w:tcPr>
            <w:tcBorders>
              <w:bottom w:val="none" w:sz="0" w:space="0" w:color="000000"/>
              <w:top w:val="single" w:sz="6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Potwierdzona</w:t>
            </w:r>
          </w:p>
        </w:tc>
      </w:tr>
      <w:tr>
        <w:trPr>
          <w:trHeight w:val="360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H2. Po czterech tygodniach stres w grupie treningu uważności będzie niższy niż w grupie treningu relaksacji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ANOVA, test Tukeya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różnica = −0.39, </w:t>
            </w: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= .039, </w:t>
            </w: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= 0.47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Potwierdzona</w:t>
            </w:r>
          </w:p>
        </w:tc>
      </w:tr>
      <w:tr>
        <w:trPr>
          <w:trHeight w:val="360" w:hRule="auto"/>
        </w:trPr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H3. Wyższe wsparcie społeczne będzie związane z niższym stresem, a samoskuteczność będzie pośredniczyć w tym związku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Korelacja Pearsona; mediacja z bootstrapem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r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= −.38, </w:t>
            </w: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p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&lt; .001; </w:t>
            </w:r>
            <w:r>
              <w:rPr>
                <w:rFonts w:ascii="Times New Roman" w:hAnsi="Times New Roman" w:eastAsia="Times New Roman" w:cs="Times New Roman"/>
                <w:i w:val="tru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ab</w:t>
            </w: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 = −0.151, 95% CI [−0.218, −0.093]</w:t>
            </w:r>
          </w:p>
        </w:tc>
        <w:tc>
          <w:tcPr>
            <w:tcBorders>
              <w:bottom w:val="single" w:sz="1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keepNext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40" w:before="40" w:line="240"/>
              <w:ind w:left="80" w:right="80" w:firstLine="0" w:firstLineChars="0"/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 w:val="false"/>
                <w:b w:val="false"/>
                <w:u w:val="none"/>
                <w:strike w:val="false"/>
                <w:sz w:val="21"/>
                <w:szCs w:val="21"/>
                <w:color w:val="000000"/>
              </w:rPr>
              <w:t xml:space="preserve">Potwierdzona</w:t>
            </w:r>
          </w:p>
        </w:tc>
      </w:tr>
    </w:tbl>
    <w:p>
      <w:pPr>
        <w:pStyle w:val="Normal"/>
        <w:jc w:val="both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240" w:before="80" w:line="240"/>
        <w:ind w:left="0" w:right="0" w:firstLine="0" w:firstLineChars="0"/>
      </w:pP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Uwaga.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–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d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Cohena (wartość bezwzględna);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0"/>
          <w:szCs w:val="20"/>
          <w:color w:val="000000"/>
        </w:rPr>
        <w:t xml:space="preserve">ab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0"/>
          <w:szCs w:val="20"/>
          <w:color w:val="000000"/>
        </w:rPr>
        <w:t xml:space="preserve"> – efekt pośredni (95% CI percentylowy, 5000 prób bootstrapowych). Analiz dodatkowych i eksploracyjnych z podrozdziału 4.4 nie ujęto w tabeli, ponieważ nie weryfikowały hipotez.</w:t>
      </w:r>
    </w:p>
    <w:p>
      <w:pPr>
        <w:pStyle w:val="Titre2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6"/>
          <w:szCs w:val="26"/>
          <w:color w:val="000000"/>
        </w:rPr>
        <w:t xml:space="preserve">Literatura cytowana we wzorze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0" w:before="0" w:line="360"/>
        <w:ind w:left="0" w:right="0" w:hanging="1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Leys, C., Ley, C., Klein, O., Bernard, P., &amp; Licata, L. (2013). Detecting outliers: Do not use standard deviation around the mean, use absolute deviation around the median. </w:t>
      </w:r>
      <w:r>
        <w:rPr>
          <w:rFonts w:ascii="Times New Roman" w:hAnsi="Times New Roman" w:eastAsia="Times New Roman" w:cs="Times New Roman"/>
          <w:i w:val="true"/>
          <w:b w:val="false"/>
          <w:u w:val="none"/>
          <w:strike w:val="false"/>
          <w:sz w:val="24"/>
          <w:szCs w:val="24"/>
          <w:color w:val="000000"/>
        </w:rPr>
        <w:t xml:space="preserve">Journal of Experimental Social Psychology, 49</w:t>
      </w: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(4), 764–766. https://doi.org/10.1016/j.jesp.2013.03.013</w:t>
      </w:r>
    </w:p>
    <w:sectPr>
      <w:pgMar w:header="708" w:bottom="1440" w:top="1440" w:right="1440" w:left="1440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xmlns:w="http://schemas.openxmlformats.org/wordprocessingml/2006/main" w:type="paragraph" w:customStyle="1" w:styleId="Titre1">
    <w:name w:val="heading 1"/>
    <w:basedOn w:val="Normal"/>
    <w:pPr>
      <w:jc w:val="left"/>
      <w:keepNext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120" w:before="240" w:line="240"/>
      <w:ind w:left="0" w:right="0" w:firstLine="0" w:firstLineChars="0"/>
    </w:pPr>
    <w:rPr>
      <w:rFonts w:ascii="Times New Roman"/>
      <w:b w:val="true"/>
      <w:strike w:val="false"/>
      <w:sz w:val="28"/>
      <w:szCs w:val="28"/>
      <w:color w:val="000000"/>
    </w:rPr>
  </w:style>
  <w:style xmlns:w="http://schemas.openxmlformats.org/wordprocessingml/2006/main" w:type="paragraph" w:customStyle="1" w:styleId="Titre2">
    <w:name w:val="heading 2"/>
    <w:basedOn w:val="Normal"/>
    <w:pPr>
      <w:jc w:val="left"/>
      <w:keepNext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120" w:before="240" w:line="240"/>
      <w:ind w:left="0" w:right="0" w:firstLine="0" w:firstLineChars="0"/>
    </w:pPr>
    <w:rPr>
      <w:rFonts w:ascii="Times New Roman"/>
      <w:b w:val="true"/>
      <w:strike w:val="false"/>
      <w:sz w:val="26"/>
      <w:szCs w:val="26"/>
      <w:color w:val="000000"/>
    </w:rPr>
  </w:style>
  <w:style xmlns:w="http://schemas.openxmlformats.org/wordprocessingml/2006/main" w:type="paragraph" w:customStyle="1" w:styleId="Titre3">
    <w:name w:val="heading 3"/>
    <w:basedOn w:val="Normal"/>
    <w:pPr>
      <w:jc w:val="left"/>
      <w:keepNext/>
      <w:pBdr>
        <w:bottom w:val="none" w:sz="0" w:space="0" w:color="000000"/>
        <w:top w:val="none" w:sz="0" w:space="0" w:color="000000"/>
        <w:left w:val="none" w:sz="0" w:space="0" w:color="000000"/>
        <w:right w:val="none" w:sz="0" w:space="0" w:color="000000"/>
      </w:pBdr>
      <w:spacing w:after="120" w:before="240" w:line="240"/>
      <w:ind w:left="0" w:right="0" w:firstLine="0" w:firstLineChars="0"/>
    </w:pPr>
    <w:rPr>
      <w:rFonts w:ascii="Times New Roman"/>
      <w:b w:val="true"/>
      <w:strike w:val="false"/>
      <w:sz w:val="24"/>
      <w:szCs w:val="24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Relationship Id="rId7" Type="http://schemas.openxmlformats.org/officeDocument/2006/relationships/image" Target="media/984f168d71b925ab09775784dbde9edf2ed6c17c.png"/>
<Relationship Id="rId8" Type="http://schemas.openxmlformats.org/officeDocument/2006/relationships/image" Target="media/34611d023b4d1e702d5523ed9f60030724bc69f3.png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Wyniki badań własnych – wzór rozdziału (dane symulowane)</dc:title>
  <dc:subject>Przykładowy rozdział wyników pracy dyplomowej</dc:subject>
  <dc:creator>Metodolog.pl</dc:creator>
  <cp:keywords/>
  <dc:description>Przykład na danych symulowanych do nauki struktury rozdziału; nie do kopiowania.</dc:description>
  <cp:lastModifiedBy>Metodolog.pl</cp:lastModifiedBy>
  <cp:revision>9</cp:revision>
  <dcterms:created xsi:type="dcterms:W3CDTF">2026-10-16T12:00:00Z</dcterms:created>
  <dcterms:modified xsi:type="dcterms:W3CDTF">2026-10-16T23:41:52Z</dcterms:modified>
  <cp:category/>
</cp:coreProperties>
</file>