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Plan analiz do wniosku grantowego – wzór z przykładem</w:t>
      </w:r>
    </w:p>
    <w:p>
      <w:pPr>
        <w:pStyle w:val="Titre2"/>
      </w:pPr>
      <w:r>
        <w:t xml:space="preserve">Jak korzystać z szablonu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Przykład dotyczy badania z randomizacją klas (dane symulowane, liczby z kodu R na stronie metodolog.pl/blog/plan-analiz-do-wniosku-grantowego/). Zastąp go własnym projektem. Limity stron, język i wymagane części wniosku sprawdź w aktualnej dokumentacji swojego konkursu.</w:t>
      </w:r>
    </w:p>
    <w:p>
      <w:pPr>
        <w:pStyle w:val="Titre2"/>
      </w:pPr>
      <w:r>
        <w:t xml:space="preserve">1. Cel, hipotezy i wynik pierwszorzędowy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napisać: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jedno zdanie o celu, hipotezę główną i hipotezy dodatkowe; wskaż jeden wynik pierwszorzędowy i moment pomiaru.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H1: w klasach objętych programem lęk egzaminacyjny po zakończeniu programu będzie niższy niż w klasach kontrolnych, przy kontroli pomiaru wyjściowego. Wynik pierwszorzędowy: lęk egzaminacyjny (skala 10–40) po 8 tygodniach. H2a–H2c (drugorzędowe): samoskuteczność, prokrastynacja, dobrostan.</w:t>
      </w:r>
    </w:p>
    <w:p>
      <w:pPr>
        <w:pStyle w:val="Titre2"/>
      </w:pPr>
      <w:r>
        <w:t xml:space="preserve">2. Schemat i jednostka randomizacji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napisać: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schemat, jednostkę losowania (osoba, klasa, szkoła), sposób losowania i konsekwencję dla analizy.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Badanie z randomizacją klastrów: 40 klas (20 w programie, 20 kontrolnych z odroczonym udziałem), losowanie warstwowe według szkoły. Jednostką losowania jest klasa, dlatego analiza uwzględni zagnieżdżenie uczniów w klasach.</w:t>
      </w:r>
    </w:p>
    <w:p>
      <w:pPr>
        <w:pStyle w:val="Titre2"/>
      </w:pPr>
      <w:r>
        <w:t xml:space="preserve">3. Liczebność i jej uzasadnienie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napisać: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SESOI i jego źródło, parametry (SD, korelacja pre–post, ICC, liczebność klastra, odpadanie), metodę (wzór lub symulacja) i moc przy scenariuszach pesymistycznych.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SESOI d = 0.30 (1.8 pkt). Przy ICC = .10, r = .60, 22 uczniach w klasie i 15% odpadnięć symulacja (500 powtórzeń) daje moc .84 dla 20 klas na grupę (880 uczniów); przy ICC = .05 moc wynosi .95, a przy ICC = .15 – .73.</w:t>
      </w:r>
    </w:p>
    <w:p>
      <w:pPr>
        <w:pStyle w:val="Titre2"/>
      </w:pPr>
      <w:r>
        <w:t xml:space="preserve">4. Analiza główna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napisać: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model, estymację, test, poziom α, wielkość efektu z przedziałem ufności; sposób traktowania klastrów.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Liniowy model mieszany: lęk_po = b0 + b1·grupa + b2·lęk_przed + u_klasa + e (REML); test b1 dwustronny, α = .05, stopnie swobody na poziomie klas. Raport: skorygowana różnica średnich z 95% CI i d.</w:t>
      </w:r>
    </w:p>
    <w:p>
      <w:pPr>
        <w:pStyle w:val="Titre2"/>
      </w:pPr>
      <w:r>
        <w:t xml:space="preserve">5. Analizy drugorzędowe i korekta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napisać: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rodziny hipotez i metodę korekty.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H2a–H2c: ten sam model; korekta Holma w rodzinie trzech testów. Wyniki drugorzędowe interpretujemy jako uzupełnienie H1.</w:t>
      </w:r>
    </w:p>
    <w:p>
      <w:pPr>
        <w:pStyle w:val="Titre2"/>
      </w:pPr>
      <w:r>
        <w:t xml:space="preserve">6. Braki danych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napisać: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przewidywany odsetek braków, działania zapobiegawcze, założenie (MAR) i metodę.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Spodziewamy się 15% braków pomiaru końcowego. Analiza główna: model mieszany na wszystkich dostępnych obserwacjach (zakłada MAR względem pomiaru wyjściowego i grupy). Zbieramy zmienne pomocnicze (frekwencja, oceny).</w:t>
      </w:r>
    </w:p>
    <w:p>
      <w:pPr>
        <w:pStyle w:val="Titre2"/>
      </w:pPr>
      <w:r>
        <w:t xml:space="preserve">7. Analizy wrażliwości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napisać: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jakie założenia analizy głównej sprawdzisz i jak przedstawisz wynik.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(a) imputacja wielokrotna z przesunięciem delta (0–8 pkt) w grupie programu i raport punktu krytycznego; (b) model bez kowarianty; (c) analiza per protocol (≥ 6 z 8 sesji).</w:t>
      </w:r>
    </w:p>
    <w:p>
      <w:pPr>
        <w:pStyle w:val="Titre2"/>
      </w:pPr>
      <w:r>
        <w:t xml:space="preserve">8. Analizy eksploracyjne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napisać: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listę analiz bez wniosków konfirmacyjnych i uczciwe zdanie o mocy.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Moderacja efektu przez poziom lęku na starcie i płeć. Moc dla interakcji jest niska, więc wyniki potraktujemy jako hipotezy do dalszych badań.</w:t>
      </w:r>
    </w:p>
    <w:p>
      <w:pPr>
        <w:pStyle w:val="Titre2"/>
      </w:pPr>
      <w:r>
        <w:t xml:space="preserve">9. Odtwarzalność i dane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napisać: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prerejestrację, kod, repozytorium; odeślij do planu zarządzania danymi zamiast go powtarzać.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Plan analiz zarejestrujemy przed rozpoczęciem rekrutacji; skrypty R i zanonimizowane dane udostępnimy zgodnie z planem zarządzania danymi.</w:t>
      </w:r>
    </w:p>
    <w:p>
      <w:pPr>
        <w:pStyle w:val="Titre2"/>
      </w:pPr>
      <w:r>
        <w:t xml:space="preserve">10. Ryzyka i plan B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true"/>
          <w:b w:val="true"/>
          <w:u w:val="none"/>
          <w:strike w:val="false"/>
          <w:sz w:val="20"/>
          <w:szCs w:val="20"/>
          <w:color w:val="555555"/>
        </w:rPr>
        <w:t xml:space="preserve">Co napisać: </w:t>
      </w:r>
      <w:r>
        <w:rPr>
          <w:rFonts w:ascii="Calibri" w:hAnsi="Calibri" w:eastAsia="Calibri" w:cs="Calibri"/>
          <w:i w:val="true"/>
          <w:b w:val="false"/>
          <w:u w:val="none"/>
          <w:strike w:val="false"/>
          <w:sz w:val="20"/>
          <w:szCs w:val="20"/>
          <w:color w:val="555555"/>
        </w:rPr>
        <w:t xml:space="preserve">ryzyka dla mocy i trafności oraz konkretną reakcję na każde z nich.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Przykład: </w:t>
      </w:r>
      <w:r>
        <w:rPr>
          <w:rFonts w:ascii="Calibri" w:hAnsi="Calibri" w:eastAsia="Calibri" w:cs="Calibri"/>
          <w:i w:val="false"/>
          <w:b w:val="false"/>
          <w:u w:val="none"/>
          <w:strike w:val="false"/>
          <w:sz w:val="22"/>
          <w:szCs w:val="22"/>
          <w:color w:val="000000"/>
        </w:rPr>
        <w:t xml:space="preserve">Zob. Tabela 2.</w:t>
      </w:r>
    </w:p>
    <w:p>
      <w:pPr>
        <w:pStyle w:val="Titre2"/>
      </w:pPr>
      <w:r>
        <w:t xml:space="preserve">Tabela 1. Hipotezy, modele i kryteria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88" w:hRule="auto"/>
          <w:tblHeader/>
        </w:trPr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Hipoteza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Wynik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Model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Wielkość efektu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Kryterium</w:t>
            </w:r>
          </w:p>
        </w:tc>
      </w:tr>
      <w:tr>
        <w:trPr>
          <w:trHeight w:val="594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H1 (główna)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Lęk egzaminacyjny po 8 tyg.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Model mieszany ANCOVA, losowy wyraz wolny klasy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Skorygowana różnica średnich, d, 95% CI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p &lt; .05 i d z 95% CI; SESOI d = 0.30</w:t>
            </w:r>
          </w:p>
        </w:tc>
      </w:tr>
      <w:tr>
        <w:trPr>
          <w:trHeight w:val="593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H2a–H2c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Samoskuteczność, prokrastynacja, dobrostan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Jak H1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Jak H1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Holm, α rodziny = .05</w:t>
            </w:r>
          </w:p>
        </w:tc>
      </w:tr>
      <w:tr>
        <w:trPr>
          <w:trHeight w:val="591" w:hRule="auto"/>
        </w:trPr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Eksploracja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Lęk egzaminacyjny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H1 + interakcja grupa × lęk na starcie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Nachylenia proste z 95% CI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Bez wniosków konfirmacyjnych</w:t>
            </w:r>
          </w:p>
        </w:tc>
      </w:tr>
    </w:tbl>
    <w:p>
      <w:pPr>
        <w:pStyle w:val="Titre2"/>
      </w:pPr>
      <w:r>
        <w:t xml:space="preserve">Tabela 2. Ryzyka i plan B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1" w:hRule="auto"/>
          <w:tblHeader/>
        </w:trPr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Ryzyko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Skutek dla analizy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Działanie</w:t>
            </w:r>
          </w:p>
        </w:tc>
      </w:tr>
      <w:tr>
        <w:trPr>
          <w:trHeight w:val="592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Mniej klas niż planowano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Spadek mocy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Rezerwowa lista szkół; rekrutacja od pierwszego miesiąca</w:t>
            </w:r>
          </w:p>
        </w:tc>
      </w:tr>
      <w:tr>
        <w:trPr>
          <w:trHeight w:val="593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ICC wyższy niż 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Moc .73 przy ICC = 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Losowanie warstwowe, kowarianta wyjściowa</w:t>
            </w:r>
          </w:p>
        </w:tc>
      </w:tr>
      <w:tr>
        <w:trPr>
          <w:trHeight w:val="591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Odpadanie powyżej 15%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Mniejsza moc, ryzyko obciążenia (MNAR)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Przypomnienia, pomiar w czasie lekcji, analiza delta</w:t>
            </w:r>
          </w:p>
        </w:tc>
      </w:tr>
      <w:tr>
        <w:trPr>
          <w:trHeight w:val="592" w:hRule="auto"/>
        </w:trPr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Niska wierność realizacji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Rozmycie efektu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Protokół, szkolenie, lista obecności; analiza per protocol</w:t>
            </w:r>
          </w:p>
        </w:tc>
      </w:tr>
    </w:tbl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Plan analiz do wniosku grantowego – wzór</dc:title>
  <dc:subject>Plan analiz statystycznych we wniosku grantowym</dc:subject>
  <dc:creator>Metodolog.pl</dc:creator>
  <cp:keywords/>
  <dc:description/>
  <cp:lastModifiedBy>Metodolog.pl</cp:lastModifiedBy>
  <cp:revision>9</cp:revision>
  <dcterms:created xsi:type="dcterms:W3CDTF">2026-10-26T09:00:00Z</dcterms:created>
  <dcterms:modified xsi:type="dcterms:W3CDTF">2026-10-26T07:26:48Z</dcterms:modified>
  <cp:category/>
</cp:coreProperties>
</file>