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gif" ContentType="image/gif"/>
  <Default Extension="png" ContentType="image/png"/>
  <Default Extension="svg" ContentType="image/svg+xml"/>
  <Default Extension="bmp" ContentType="image/bmp"/>
  <Default Extension="emf" ContentType="image/x-emf"/>
  <Default Extension="wmf" ContentType="image/x-wmf"/>
  <Default Extension="tiff" ContentType="image/tiff"/>
  <Default Extension="pdf" ContentType="application/pdf"/>
  <Default Extension="jpg" ContentType="application/octet-stream"/>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standalone="yes"?>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pPr>
        <w:pStyle w:val="Normal"/>
        <w:jc w:val="left"/>
        <w:pBdr>
          <w:bottom w:val="none" w:sz="0" w:space="0" w:color="000000"/>
          <w:top w:val="none" w:sz="0" w:space="0" w:color="000000"/>
          <w:left w:val="none" w:sz="0" w:space="0" w:color="000000"/>
          <w:right w:val="none" w:sz="0" w:space="0" w:color="000000"/>
        </w:pBdr>
        <w:spacing w:after="80" w:before="200" w:line="240"/>
        <w:ind w:left="0" w:right="0" w:firstLine="0" w:firstLineChars="0"/>
      </w:pPr>
      <w:r>
        <w:rPr>
          <w:rFonts w:ascii="Arial" w:hAnsi="Arial" w:eastAsia="Arial" w:cs="Arial"/>
          <w:i w:val="false"/>
          <w:b w:val="true"/>
          <w:u w:val="none"/>
          <w:strike w:val="false"/>
          <w:sz w:val="30"/>
          <w:szCs w:val="30"/>
          <w:color w:val="0F1D3A"/>
        </w:rPr>
        <w:t xml:space="preserve">Odpowiedź recenzentom – wzór dokumentu (EN i PL)</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true"/>
          <w:b w:val="false"/>
          <w:u w:val="none"/>
          <w:strike w:val="false"/>
          <w:sz w:val="20"/>
          <w:szCs w:val="20"/>
          <w:color w:val="000000"/>
        </w:rPr>
        <w:t xml:space="preserve">Przykład z wpisu metodolog.pl „Odpowiedź recenzentom w sprawach statystycznych – wzory po polsku i angielsku”. Uwagi recenzentów są przykładowe (ułożone na potrzeby wzoru, nie pochodzą z prawdziwych recenzji), a liczby pochodzą z danych symulowanych. Fragmenty w nawiasach kwadratowych zastąp informacjami z własnego artykułu, a numery stron i wierszy sprawdź w wersji poprawionej.</w:t>
      </w:r>
    </w:p>
    <w:p>
      <w:pPr>
        <w:pStyle w:val="Normal"/>
        <w:jc w:val="left"/>
        <w:pBdr>
          <w:bottom w:val="none" w:sz="0" w:space="0" w:color="000000"/>
          <w:top w:val="none" w:sz="0" w:space="0" w:color="000000"/>
          <w:left w:val="none" w:sz="0" w:space="0" w:color="000000"/>
          <w:right w:val="none" w:sz="0" w:space="0" w:color="000000"/>
        </w:pBdr>
        <w:spacing w:after="80" w:before="200" w:line="240"/>
        <w:ind w:left="0" w:right="0" w:firstLine="0" w:firstLineChars="0"/>
      </w:pPr>
      <w:r>
        <w:rPr>
          <w:rFonts w:ascii="Arial" w:hAnsi="Arial" w:eastAsia="Arial" w:cs="Arial"/>
          <w:i w:val="false"/>
          <w:b w:val="true"/>
          <w:u w:val="none"/>
          <w:strike w:val="false"/>
          <w:sz w:val="30"/>
          <w:szCs w:val="30"/>
          <w:color w:val="0F1D3A"/>
        </w:rPr>
        <w:t xml:space="preserve">English version</w:t>
      </w:r>
    </w:p>
    <w:p>
      <w:pPr>
        <w:pStyle w:val="Normal"/>
        <w:jc w:val="left"/>
        <w:pBdr>
          <w:bottom w:val="none" w:sz="0" w:space="0" w:color="000000"/>
          <w:top w:val="none" w:sz="0" w:space="0" w:color="000000"/>
          <w:left w:val="none" w:sz="0" w:space="0" w:color="000000"/>
          <w:right w:val="none" w:sz="0" w:space="0" w:color="000000"/>
        </w:pBdr>
        <w:spacing w:after="80" w:before="200" w:line="240"/>
        <w:ind w:left="0" w:right="0" w:firstLine="0" w:firstLineChars="0"/>
      </w:pPr>
      <w:r>
        <w:rPr>
          <w:rFonts w:ascii="Arial" w:hAnsi="Arial" w:eastAsia="Arial" w:cs="Arial"/>
          <w:i w:val="false"/>
          <w:b w:val="true"/>
          <w:u w:val="none"/>
          <w:strike w:val="false"/>
          <w:sz w:val="24"/>
          <w:szCs w:val="24"/>
          <w:color w:val="0F1D3A"/>
        </w:rPr>
        <w:t xml:space="preserve">Part A. Cover letter to the editor</w:t>
      </w:r>
    </w:p>
    <w:p>
      <w:pPr>
        <w:pStyle w:val="Normal"/>
      </w:pPr>
      <w:r>
        <w:t xml:space="preserve">Dear Dr [Name], Thank you for the opportunity to revise our manuscript "[title]" ([ID]). We have addressed every comment; reviewer comments are in italics, changes in quotation marks, and page and line numbers refer to the revised version. The main changes are: (1) [e.g., we corrected a scoring error and re-ran all analyses; the conclusion regarding Hypothesis 2 has changed]; (2) [e.g., we now model the nesting of teachers within schools]. Sincerely, [names]</w:t>
      </w:r>
    </w:p>
    <w:p>
      <w:pPr>
        <w:pStyle w:val="Normal"/>
        <w:jc w:val="left"/>
        <w:pBdr>
          <w:bottom w:val="none" w:sz="0" w:space="0" w:color="000000"/>
          <w:top w:val="none" w:sz="0" w:space="0" w:color="000000"/>
          <w:left w:val="none" w:sz="0" w:space="0" w:color="000000"/>
          <w:right w:val="none" w:sz="0" w:space="0" w:color="000000"/>
        </w:pBdr>
        <w:spacing w:after="80" w:before="200" w:line="240"/>
        <w:ind w:left="0" w:right="0" w:firstLine="0" w:firstLineChars="0"/>
      </w:pPr>
      <w:r>
        <w:rPr>
          <w:rFonts w:ascii="Arial" w:hAnsi="Arial" w:eastAsia="Arial" w:cs="Arial"/>
          <w:i w:val="false"/>
          <w:b w:val="true"/>
          <w:u w:val="none"/>
          <w:strike w:val="false"/>
          <w:sz w:val="24"/>
          <w:szCs w:val="24"/>
          <w:color w:val="0F1D3A"/>
        </w:rPr>
        <w:t xml:space="preserve">Part B. Point-by-point response</w:t>
      </w:r>
    </w:p>
    <w:p>
      <w:pPr>
        <w:pStyle w:val="Normal"/>
      </w:pPr>
      <w:r>
        <w:t xml:space="preserve">Reviewer comments are shown in italics, our responses in plain text, and the location of each change in the last column. Page and line numbers refer to the revised manuscript.</w:t>
      </w:r>
    </w:p>
    <w:tbl xmlns:a="http://schemas.openxmlformats.org/drawingml/2006/main" xmlns:pic="http://schemas.openxmlformats.org/drawingml/2006/picture">
      <w:tblPr>
        <w:tblLayout w:type="fixed"/>
        <w:jc w:val="center"/>
        <w:tblLook w:firstRow="1" w:lastRow="0" w:firstColumn="0" w:lastColumn="0" w:noHBand="0" w:noVBand="1"/>
      </w:tblPr>
      <w:tblGrid>
        <w:gridCol w:w="720"/>
        <w:gridCol w:w="3168"/>
        <w:gridCol w:w="6624"/>
        <w:gridCol w:w="2304"/>
      </w:tblGrid>
      <w:tr>
        <w:trPr>
          <w:trHeight w:val="360" w:hRule="auto"/>
          <w:tblHeader/>
        </w:trPr>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true"/>
                <w:u w:val="none"/>
                <w:strike w:val="false"/>
                <w:sz w:val="18"/>
                <w:szCs w:val="18"/>
                <w:color w:val="000000"/>
              </w:rPr>
            </w:pPr>
            <w:r>
              <w:rPr>
                <w:rFonts w:ascii="Calibri" w:hAnsi="Calibri" w:eastAsia="Calibri" w:cs="Calibri"/>
                <w:i w:val="false"/>
                <w:b w:val="true"/>
                <w:u w:val="none"/>
                <w:strike w:val="false"/>
                <w:sz w:val="18"/>
                <w:szCs w:val="18"/>
                <w:color w:val="000000"/>
              </w:rPr>
              <w:t xml:space="preserve">No.</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true"/>
                <w:u w:val="none"/>
                <w:strike w:val="false"/>
                <w:sz w:val="18"/>
                <w:szCs w:val="18"/>
                <w:color w:val="000000"/>
              </w:rPr>
            </w:pPr>
            <w:r>
              <w:rPr>
                <w:rFonts w:ascii="Calibri" w:hAnsi="Calibri" w:eastAsia="Calibri" w:cs="Calibri"/>
                <w:i w:val="false"/>
                <w:b w:val="true"/>
                <w:u w:val="none"/>
                <w:strike w:val="false"/>
                <w:sz w:val="18"/>
                <w:szCs w:val="18"/>
                <w:color w:val="000000"/>
              </w:rPr>
              <w:t xml:space="preserve">Reviewer comment</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true"/>
                <w:u w:val="none"/>
                <w:strike w:val="false"/>
                <w:sz w:val="18"/>
                <w:szCs w:val="18"/>
                <w:color w:val="000000"/>
              </w:rPr>
            </w:pPr>
            <w:r>
              <w:rPr>
                <w:rFonts w:ascii="Calibri" w:hAnsi="Calibri" w:eastAsia="Calibri" w:cs="Calibri"/>
                <w:i w:val="false"/>
                <w:b w:val="true"/>
                <w:u w:val="none"/>
                <w:strike w:val="false"/>
                <w:sz w:val="18"/>
                <w:szCs w:val="18"/>
                <w:color w:val="000000"/>
              </w:rPr>
              <w:t xml:space="preserve">Response</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true"/>
                <w:u w:val="none"/>
                <w:strike w:val="false"/>
                <w:sz w:val="18"/>
                <w:szCs w:val="18"/>
                <w:color w:val="000000"/>
              </w:rPr>
            </w:pPr>
            <w:r>
              <w:rPr>
                <w:rFonts w:ascii="Calibri" w:hAnsi="Calibri" w:eastAsia="Calibri" w:cs="Calibri"/>
                <w:i w:val="false"/>
                <w:b w:val="true"/>
                <w:u w:val="none"/>
                <w:strike w:val="false"/>
                <w:sz w:val="18"/>
                <w:szCs w:val="18"/>
                <w:color w:val="000000"/>
              </w:rPr>
              <w:t xml:space="preserve">Change in the manuscript</w:t>
            </w:r>
          </w:p>
        </w:tc>
      </w:tr>
      <w:tr>
        <w:trPr>
          <w:trHeight w:val="360" w:hRule="auto"/>
        </w:trPr>
        <w:tc>
          <w:tcPr>
            <w:tcBorders>
              <w:bottom w:val="single" w:sz="4" w:space="0" w:color="BFBFBF"/>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R1.1</w:t>
            </w:r>
          </w:p>
        </w:tc>
        <w:tc>
          <w:tcPr>
            <w:tcBorders>
              <w:bottom w:val="single" w:sz="4" w:space="0" w:color="BFBFBF"/>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true"/>
                <w:b w:val="false"/>
                <w:u w:val="none"/>
                <w:strike w:val="false"/>
                <w:sz w:val="18"/>
                <w:szCs w:val="18"/>
                <w:color w:val="000000"/>
              </w:rPr>
            </w:pPr>
            <w:r>
              <w:rPr>
                <w:rFonts w:ascii="Calibri" w:hAnsi="Calibri" w:eastAsia="Calibri" w:cs="Calibri"/>
                <w:i w:val="true"/>
                <w:b w:val="false"/>
                <w:u w:val="none"/>
                <w:strike w:val="false"/>
                <w:sz w:val="18"/>
                <w:szCs w:val="18"/>
                <w:color w:val="000000"/>
              </w:rPr>
              <w:t xml:space="preserve">The association between support and reduced efficacy was not significant. Please report the post hoc power of this test.</w:t>
            </w:r>
          </w:p>
        </w:tc>
        <w:tc>
          <w:tcPr>
            <w:tcBorders>
              <w:bottom w:val="single" w:sz="4" w:space="0" w:color="BFBFBF"/>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Thank you. We suggest not reporting observed (post hoc) power, because it is a direct function of the p value; Hoenig and Heisey (2001) explain why it is uninformative. Instead, we report a sensitivity analysis: with N = 440 and α = .05, the test had 80% power to detect f² = 0.018 (partial r = .13). The 95% CI for the standardized coefficient, β = 0.04 [−0.05, 0.14], shows which effects remain compatible with our data (p. [X], lines [Y–Z]).</w:t>
            </w:r>
          </w:p>
        </w:tc>
        <w:tc>
          <w:tcPr>
            <w:tcBorders>
              <w:bottom w:val="single" w:sz="4" w:space="0" w:color="BFBFBF"/>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Method (sensitivity analysis), p. [X], lines [Y–Z]</w:t>
            </w:r>
          </w:p>
        </w:tc>
      </w:tr>
      <w:tr>
        <w:trPr>
          <w:trHeight w:val="360" w:hRule="auto"/>
        </w:trPr>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R1.2</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true"/>
                <w:b w:val="false"/>
                <w:u w:val="none"/>
                <w:strike w:val="false"/>
                <w:sz w:val="18"/>
                <w:szCs w:val="18"/>
                <w:color w:val="000000"/>
              </w:rPr>
            </w:pPr>
            <w:r>
              <w:rPr>
                <w:rFonts w:ascii="Calibri" w:hAnsi="Calibri" w:eastAsia="Calibri" w:cs="Calibri"/>
                <w:i w:val="true"/>
                <w:b w:val="false"/>
                <w:u w:val="none"/>
                <w:strike w:val="false"/>
                <w:sz w:val="18"/>
                <w:szCs w:val="18"/>
                <w:color w:val="000000"/>
              </w:rPr>
              <w:t xml:space="preserve">Six tests (two predictors × three burnout dimensions) are reported without any correction for multiple testing. Please correct or justify.</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We agree. The six tests address one family of hypotheses (H1 and H2), so we now apply the Holm procedure. Four of the five significant associations remain significant (largest adjusted p = .003), but the association between support and cynicism (b = −0.16, p = .030) does not (Holm-adjusted p = .060). We revised the Results, Discussion and Abstract accordingly and report adjusted p values in Table [N] (p. [X], lines [Y–Z]).</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Results and Table [N]; Abstract; Discussion</w:t>
            </w:r>
          </w:p>
        </w:tc>
      </w:tr>
      <w:tr>
        <w:trPr>
          <w:trHeight w:val="360" w:hRule="auto"/>
        </w:trPr>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R1.3</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true"/>
                <w:b w:val="false"/>
                <w:u w:val="none"/>
                <w:strike w:val="false"/>
                <w:sz w:val="18"/>
                <w:szCs w:val="18"/>
                <w:color w:val="000000"/>
              </w:rPr>
            </w:pPr>
            <w:r>
              <w:rPr>
                <w:rFonts w:ascii="Calibri" w:hAnsi="Calibri" w:eastAsia="Calibri" w:cs="Calibri"/>
                <w:i w:val="true"/>
                <w:b w:val="false"/>
                <w:u w:val="none"/>
                <w:strike w:val="false"/>
                <w:sz w:val="18"/>
                <w:szCs w:val="18"/>
                <w:color w:val="000000"/>
              </w:rPr>
              <w:t xml:space="preserve">Please control for age, gender, school type and job satisfaction, which are known correlates of burnout.</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Thank you. We added age, gender and school type, which may affect both workload and burnout; the results are virtually unchanged (workload b = 0.65, 95% CI [0.52, 0.77]; support b = −0.23, 95% CI [−0.36, −0.10]). We did not add job satisfaction to the primary model, because it is plausibly a consequence of workload (a mediator); Wysocki et al. (2022) show that inappropriate controls can increase bias. The model with satisfaction is in Table S[N].</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Table [N]; Supplementary Table S[N]</w:t>
            </w:r>
          </w:p>
        </w:tc>
      </w:tr>
      <w:tr>
        <w:trPr>
          <w:trHeight w:val="360" w:hRule="auto"/>
        </w:trPr>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R1.4</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true"/>
                <w:b w:val="false"/>
                <w:u w:val="none"/>
                <w:strike w:val="false"/>
                <w:sz w:val="18"/>
                <w:szCs w:val="18"/>
                <w:color w:val="000000"/>
              </w:rPr>
            </w:pPr>
            <w:r>
              <w:rPr>
                <w:rFonts w:ascii="Calibri" w:hAnsi="Calibri" w:eastAsia="Calibri" w:cs="Calibri"/>
                <w:i w:val="true"/>
                <w:b w:val="false"/>
                <w:u w:val="none"/>
                <w:strike w:val="false"/>
                <w:sz w:val="18"/>
                <w:szCs w:val="18"/>
                <w:color w:val="000000"/>
              </w:rPr>
              <w:t xml:space="preserve">Teachers are nested within 40 schools. Please account for clustering, for example with a multilevel model, and report the intraclass correlation.</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We agree. The intraclass correlation for exhaustion was ICC = .10, so we re-estimated the model as a linear mixed-effects model with a random intercept for school (REML, Satterthwaite degrees of freedom). The fixed effects were very similar: workload b = 0.63, 95% CI [0.51, 0.75]; support b = −0.24, 95% CI [−0.37, −0.12]; both p &lt; .001. This model is now the primary analysis (p. [X], lines [Y–Z]); the single-level model is in Supplementary Table S[N].</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Method and Results, p. [X], lines [Y–Z]; Supplementary Table S[N]</w:t>
            </w:r>
          </w:p>
        </w:tc>
      </w:tr>
      <w:tr>
        <w:trPr>
          <w:trHeight w:val="360" w:hRule="auto"/>
        </w:trPr>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R1.5</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true"/>
                <w:b w:val="false"/>
                <w:u w:val="none"/>
                <w:strike w:val="false"/>
                <w:sz w:val="18"/>
                <w:szCs w:val="18"/>
                <w:color w:val="000000"/>
              </w:rPr>
            </w:pPr>
            <w:r>
              <w:rPr>
                <w:rFonts w:ascii="Calibri" w:hAnsi="Calibri" w:eastAsia="Calibri" w:cs="Calibri"/>
                <w:i w:val="true"/>
                <w:b w:val="false"/>
                <w:u w:val="none"/>
                <w:strike w:val="false"/>
                <w:sz w:val="18"/>
                <w:szCs w:val="18"/>
                <w:color w:val="000000"/>
              </w:rPr>
              <w:t xml:space="preserve">Data are ‘available upon reasonable request’. Please deposit the data and code in a public repository or explain why this is not possible.</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Thank you. The anonymised data, codebook and R code reproducing all results are now in [repository] ([DOI]), and the Data Availability Statement reads: "The data and analysis code supporting this study are openly available in [repository] at [DOI]." Direct identifiers were removed and [e.g., age was recoded into categories]. [If data cannot be shared: Participants did not consent to public sharing, so we provide (synthetic data / aggregated data / controlled access) and the full code.]</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Data Availability Statement</w:t>
            </w:r>
          </w:p>
        </w:tc>
      </w:tr>
      <w:tr>
        <w:trPr>
          <w:trHeight w:val="360" w:hRule="auto"/>
        </w:trPr>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R2.1</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true"/>
                <w:b w:val="false"/>
                <w:u w:val="none"/>
                <w:strike w:val="false"/>
                <w:sz w:val="18"/>
                <w:szCs w:val="18"/>
                <w:color w:val="000000"/>
              </w:rPr>
            </w:pPr>
            <w:r>
              <w:rPr>
                <w:rFonts w:ascii="Calibri" w:hAnsi="Calibri" w:eastAsia="Calibri" w:cs="Calibri"/>
                <w:i w:val="true"/>
                <w:b w:val="false"/>
                <w:u w:val="none"/>
                <w:strike w:val="false"/>
                <w:sz w:val="18"/>
                <w:szCs w:val="18"/>
                <w:color w:val="000000"/>
              </w:rPr>
              <w:t xml:space="preserve">The support scale has unusually low reliability (α = .35), and its positive coefficient contradicts previous studies. Please check the scoring of this scale.</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Thank you – this comment revealed an error: item 3 of the support scale is negatively worded but was not reverse-scored. After correction, α = .77 (previously .35), and support is negatively associated with exhaustion, b = −0.22, 95% CI [−0.35, −0.09], p &lt; .001 (previously b = 0.11, 95% CI [−0.06, 0.29], p = .191). Hypothesis 2 is therefore now supported; we revised the Abstract, Results and Discussion (p. [X], lines [Y–Z]). The workload coefficient barely changed (b = 0.65 vs. 0.67). We re-checked all scoring and re-ran all analyses from the raw data with one script.</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Abstract, Results, Discussion, p. [X], lines [Y–Z]</w:t>
            </w:r>
          </w:p>
        </w:tc>
      </w:tr>
      <w:tr>
        <w:trPr>
          <w:trHeight w:val="360" w:hRule="auto"/>
        </w:trPr>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R2.2</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true"/>
                <w:b w:val="false"/>
                <w:u w:val="none"/>
                <w:strike w:val="false"/>
                <w:sz w:val="18"/>
                <w:szCs w:val="18"/>
                <w:color w:val="000000"/>
              </w:rPr>
            </w:pPr>
            <w:r>
              <w:rPr>
                <w:rFonts w:ascii="Calibri" w:hAnsi="Calibri" w:eastAsia="Calibri" w:cs="Calibri"/>
                <w:i w:val="true"/>
                <w:b w:val="false"/>
                <w:u w:val="none"/>
                <w:strike w:val="false"/>
                <w:sz w:val="18"/>
                <w:szCs w:val="18"/>
                <w:color w:val="000000"/>
              </w:rPr>
              <w:t xml:space="preserve">Figure 2 suggests a few respondents with maximal workload but minimal exhaustion. Were outliers examined, and do they affect the results?</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Thank you. Studentized residuals (|t| &gt; 3) identified six respondents (t = −3.18) who chose the highest option on every workload item and the lowest on every other item, suggesting careless responding. As this rule was not preregistered, the full sample remains primary; following Leys et al. (2019), we also report results without these cases (workload b = 0.76, 95% CI [0.64, 0.87]; support b = −0.29, 95% CI [−0.41, −0.17]) and from a robust MM regression. The conclusions do not change (Table S[N]).</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Results, p. [X], lines [Y–Z]; Supplementary Table S[N]</w:t>
            </w:r>
          </w:p>
        </w:tc>
      </w:tr>
      <w:tr>
        <w:trPr>
          <w:trHeight w:val="360" w:hRule="auto"/>
        </w:trPr>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R2.3</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true"/>
                <w:b w:val="false"/>
                <w:u w:val="none"/>
                <w:strike w:val="false"/>
                <w:sz w:val="18"/>
                <w:szCs w:val="18"/>
                <w:color w:val="000000"/>
              </w:rPr>
            </w:pPr>
            <w:r>
              <w:rPr>
                <w:rFonts w:ascii="Calibri" w:hAnsi="Calibri" w:eastAsia="Calibri" w:cs="Calibri"/>
                <w:i w:val="true"/>
                <w:b w:val="false"/>
                <w:u w:val="none"/>
                <w:strike w:val="false"/>
                <w:sz w:val="18"/>
                <w:szCs w:val="18"/>
                <w:color w:val="000000"/>
              </w:rPr>
              <w:t xml:space="preserve">The sample drops from 480 to 440, but missing data handling is not described. Please describe it and use an appropriate method.</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We agree and now describe missing data (p. [X], lines [Y–Z]). Forty teachers (8.3%) skipped the support questions; no other variable had missing values. As they reported higher exhaustion (M = 3.88 vs. 3.27), the data are unlikely to be missing completely at random. Following Schafer and Graham (2002), we used full information maximum likelihood (all 480 cases, missing-at-random assumption): workload b = 0.68, 95% CI [0.56, 0.79]; support b = −0.22, 95% CI [−0.34, −0.09]. Complete-case results are in Table S[N].</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Method (missing data), p. [X], lines [Y–Z]; Supplementary Table S[N]</w:t>
            </w:r>
          </w:p>
        </w:tc>
      </w:tr>
      <w:tr>
        <w:trPr>
          <w:trHeight w:val="360" w:hRule="auto"/>
        </w:trPr>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R2.4</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true"/>
                <w:b w:val="false"/>
                <w:u w:val="none"/>
                <w:strike w:val="false"/>
                <w:sz w:val="18"/>
                <w:szCs w:val="18"/>
                <w:color w:val="000000"/>
              </w:rPr>
            </w:pPr>
            <w:r>
              <w:rPr>
                <w:rFonts w:ascii="Calibri" w:hAnsi="Calibri" w:eastAsia="Calibri" w:cs="Calibri"/>
                <w:i w:val="true"/>
                <w:b w:val="false"/>
                <w:u w:val="none"/>
                <w:strike w:val="false"/>
                <w:sz w:val="18"/>
                <w:szCs w:val="18"/>
                <w:color w:val="000000"/>
              </w:rPr>
              <w:t xml:space="preserve">Exhaustion is skewed and the Shapiro–Wilk test is significant (p &lt; .001). Please use non-parametric methods or transform the variable.</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Thank you. As Williams et al. (2013) clarify, linear regression assumes normally distributed errors, not a normal outcome. Our residuals were only slightly non-normal (skewness = −0.16, excess kurtosis = 0.29); with N = 440, the Shapiro–Wilk test detects even such departures (W = .990, p = .004). HC3 and bootstrap (2,000 resamples) confidence intervals were practically identical (workload: [0.52, 0.78] and [0.52, 0.79]; support: [−0.35, −0.09] in both), so our inferences do not depend on this assumption (p. [X], lines [Y–Z]).</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Results, p. [X], lines [Y–Z]</w:t>
            </w:r>
          </w:p>
        </w:tc>
      </w:tr>
      <w:tr>
        <w:trPr>
          <w:trHeight w:val="360" w:hRule="auto"/>
        </w:trPr>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R2.5</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true"/>
                <w:b w:val="false"/>
                <w:u w:val="none"/>
                <w:strike w:val="false"/>
                <w:sz w:val="18"/>
                <w:szCs w:val="18"/>
                <w:color w:val="000000"/>
              </w:rPr>
            </w:pPr>
            <w:r>
              <w:rPr>
                <w:rFonts w:ascii="Calibri" w:hAnsi="Calibri" w:eastAsia="Calibri" w:cs="Calibri"/>
                <w:i w:val="true"/>
                <w:b w:val="false"/>
                <w:u w:val="none"/>
                <w:strike w:val="false"/>
                <w:sz w:val="18"/>
                <w:szCs w:val="18"/>
                <w:color w:val="000000"/>
              </w:rPr>
              <w:t xml:space="preserve">All variables were self-reported in one survey. Please address common method variance, for example with Harman’s single-factor test.</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We agree that common method variance is plausible. As requested, we ran Harman's single-factor test: the first unrotated component explained 29.2% of the item variance. However, Aguirre-Urreta and Hu (2019) showed that this test has limited ability to detect method effects, so we do not treat it as evidence that bias is absent. The revised Limitations (p. [X], lines [Y–Z]) describe our procedural remedies [e.g., anonymity, different response formats], acknowledge possible inflation and recommend multi-source or time-lagged designs, in line with Podsakoff et al. (2003).</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Limitations, p. [X], lines [Y–Z]</w:t>
            </w:r>
          </w:p>
        </w:tc>
      </w:tr>
      <w:tr>
        <w:trPr>
          <w:trHeight w:val="360" w:hRule="auto"/>
        </w:trPr>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R2.6</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true"/>
                <w:b w:val="false"/>
                <w:u w:val="none"/>
                <w:strike w:val="false"/>
                <w:sz w:val="18"/>
                <w:szCs w:val="18"/>
                <w:color w:val="000000"/>
              </w:rPr>
            </w:pPr>
            <w:r>
              <w:rPr>
                <w:rFonts w:ascii="Calibri" w:hAnsi="Calibri" w:eastAsia="Calibri" w:cs="Calibri"/>
                <w:i w:val="true"/>
                <w:b w:val="false"/>
                <w:u w:val="none"/>
                <w:strike w:val="false"/>
                <w:sz w:val="18"/>
                <w:szCs w:val="18"/>
                <w:color w:val="000000"/>
              </w:rPr>
              <w:t xml:space="preserve">Women and men are compared on exhaustion, but measurement invariance across gender is not tested.</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Thank you. We tested invariance of the exhaustion scale across women (n = 362) and men (n = 118) with multigroup CFA (MLR). The configural model fitted well by CFI and SRMR, χ²(10) = 22.06, CFI = .989, RMSEA = .074, SRMR = .020. Equal loadings and then equal intercepts did not worsen the fit: Δχ²(4) = 2.47, p = .650, ΔCFI = .001, ΔRMSEA = −.015; Δχ²(4) = 1.22, p = .874, ΔCFI = .002, ΔRMSEA = −.014. Scalar invariance supports comparing latent means (Table S[N]).</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Method and Supplementary Table S[N]</w:t>
            </w:r>
          </w:p>
        </w:tc>
      </w:tr>
      <w:tr>
        <w:trPr>
          <w:trHeight w:val="360" w:hRule="auto"/>
        </w:trPr>
        <w:tc>
          <w:tcPr>
            <w:tcBorders>
              <w:bottom w:val="single" w:sz="12" w:space="0" w:color="666666"/>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R2.7</w:t>
            </w:r>
          </w:p>
        </w:tc>
        <w:tc>
          <w:tcPr>
            <w:tcBorders>
              <w:bottom w:val="single" w:sz="12" w:space="0" w:color="666666"/>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true"/>
                <w:b w:val="false"/>
                <w:u w:val="none"/>
                <w:strike w:val="false"/>
                <w:sz w:val="18"/>
                <w:szCs w:val="18"/>
                <w:color w:val="000000"/>
              </w:rPr>
            </w:pPr>
            <w:r>
              <w:rPr>
                <w:rFonts w:ascii="Calibri" w:hAnsi="Calibri" w:eastAsia="Calibri" w:cs="Calibri"/>
                <w:i w:val="true"/>
                <w:b w:val="false"/>
                <w:u w:val="none"/>
                <w:strike w:val="false"/>
                <w:sz w:val="18"/>
                <w:szCs w:val="18"/>
                <w:color w:val="000000"/>
              </w:rPr>
              <w:t xml:space="preserve">The design is cross-sectional, yet workload ‘leads to’ burnout and support ‘protects’ teachers. Please revise the causal language.</w:t>
            </w:r>
          </w:p>
        </w:tc>
        <w:tc>
          <w:tcPr>
            <w:tcBorders>
              <w:bottom w:val="single" w:sz="12" w:space="0" w:color="666666"/>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We agree that our cross-sectional design does not allow causal conclusions. Throughout the manuscript we replaced causal verbs (e.g., "leads to", "protects") with associational wording (e.g., "was associated with"); all changed sentences are listed below. The Limitations section now states that reverse causation and unmeasured confounding cannot be ruled out (p. [X], lines [Y–Z]), and the title now reads "[new title]".</w:t>
            </w:r>
          </w:p>
        </w:tc>
        <w:tc>
          <w:tcPr>
            <w:tcBorders>
              <w:bottom w:val="single" w:sz="12" w:space="0" w:color="666666"/>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Title, Abstract, Discussion, Limitations</w:t>
            </w:r>
          </w:p>
        </w:tc>
      </w:tr>
    </w:tbl>
    <w:p>
      <w:pPr>
        <w:pStyle w:val="Normal"/>
        <w:jc w:val="left"/>
        <w:pBdr>
          <w:bottom w:val="none" w:sz="0" w:space="0" w:color="000000"/>
          <w:top w:val="none" w:sz="0" w:space="0" w:color="000000"/>
          <w:left w:val="none" w:sz="0" w:space="0" w:color="000000"/>
          <w:right w:val="none" w:sz="0" w:space="0" w:color="000000"/>
        </w:pBdr>
        <w:spacing w:after="80" w:before="200" w:line="240"/>
        <w:ind w:left="0" w:right="0" w:firstLine="0" w:firstLineChars="0"/>
      </w:pPr>
      <w:r>
        <w:rPr>
          <w:rFonts w:ascii="Arial" w:hAnsi="Arial" w:eastAsia="Arial" w:cs="Arial"/>
          <w:i w:val="false"/>
          <w:b w:val="true"/>
          <w:u w:val="none"/>
          <w:strike w:val="false"/>
          <w:sz w:val="24"/>
          <w:szCs w:val="24"/>
          <w:color w:val="0F1D3A"/>
        </w:rPr>
        <w:t xml:space="preserve">Part C. Separate letter to the editor about conflicting comments</w:t>
      </w:r>
    </w:p>
    <w:p>
      <w:pPr>
        <w:pStyle w:val="Normal"/>
      </w:pPr>
      <w:r>
        <w:t xml:space="preserve">Dear Dr [Name], Two comments point in opposite directions: Reviewer 1 (comment [number]) asks us to [e.g., present only the mixed-effects model], whereas Reviewer 2 (comment [number]) asks us to [e.g., keep the single-level model]. We propose to [e.g., report the mixed-effects model as primary and the single-level model in the Supplement], because [reason]. Please let us know if you prefer a different solution.</w:t>
      </w:r>
    </w:p>
    <w:p>
      <w:pPr/>
      <w:r>
        <w:br w:type="page"/>
      </w:r>
    </w:p>
    <w:p>
      <w:pPr>
        <w:pStyle w:val="Normal"/>
        <w:jc w:val="left"/>
        <w:pBdr>
          <w:bottom w:val="none" w:sz="0" w:space="0" w:color="000000"/>
          <w:top w:val="none" w:sz="0" w:space="0" w:color="000000"/>
          <w:left w:val="none" w:sz="0" w:space="0" w:color="000000"/>
          <w:right w:val="none" w:sz="0" w:space="0" w:color="000000"/>
        </w:pBdr>
        <w:spacing w:after="80" w:before="200" w:line="240"/>
        <w:ind w:left="0" w:right="0" w:firstLine="0" w:firstLineChars="0"/>
      </w:pPr>
      <w:r>
        <w:rPr>
          <w:rFonts w:ascii="Arial" w:hAnsi="Arial" w:eastAsia="Arial" w:cs="Arial"/>
          <w:i w:val="false"/>
          <w:b w:val="true"/>
          <w:u w:val="none"/>
          <w:strike w:val="false"/>
          <w:sz w:val="30"/>
          <w:szCs w:val="30"/>
          <w:color w:val="0F1D3A"/>
        </w:rPr>
        <w:t xml:space="preserve">Wersja polska</w:t>
      </w:r>
    </w:p>
    <w:p>
      <w:pPr>
        <w:pStyle w:val="Normal"/>
        <w:jc w:val="left"/>
        <w:pBdr>
          <w:bottom w:val="none" w:sz="0" w:space="0" w:color="000000"/>
          <w:top w:val="none" w:sz="0" w:space="0" w:color="000000"/>
          <w:left w:val="none" w:sz="0" w:space="0" w:color="000000"/>
          <w:right w:val="none" w:sz="0" w:space="0" w:color="000000"/>
        </w:pBdr>
        <w:spacing w:after="80" w:before="200" w:line="240"/>
        <w:ind w:left="0" w:right="0" w:firstLine="0" w:firstLineChars="0"/>
      </w:pPr>
      <w:r>
        <w:rPr>
          <w:rFonts w:ascii="Arial" w:hAnsi="Arial" w:eastAsia="Arial" w:cs="Arial"/>
          <w:i w:val="false"/>
          <w:b w:val="true"/>
          <w:u w:val="none"/>
          <w:strike w:val="false"/>
          <w:sz w:val="24"/>
          <w:szCs w:val="24"/>
          <w:color w:val="0F1D3A"/>
        </w:rPr>
        <w:t xml:space="preserve">Część A. List do redakcji</w:t>
      </w:r>
    </w:p>
    <w:p>
      <w:pPr>
        <w:pStyle w:val="Normal"/>
      </w:pPr>
      <w:r>
        <w:t xml:space="preserve">Szanowni Państwo, dziękujemy za możliwość poprawienia artykułu „[tytuł]” ([numer]). Odnieśliśmy się do wszystkich uwag; uwagi Recenzentów zapisano kursywą, zmiany w artykule w cudzysłowie, a numery stron i wierszy dotyczą wersji poprawionej. Najważniejsze zmiany: (1) [np. poprawiliśmy błąd kodowania i powtórzyliśmy analizy – zmienił się wniosek dotyczący hipotezy 2]; (2) [np. uwzględniliśmy zagnieżdżenie nauczycieli w szkołach]. Z wyrazami szacunku, [autorzy]</w:t>
      </w:r>
    </w:p>
    <w:p>
      <w:pPr>
        <w:pStyle w:val="Normal"/>
        <w:jc w:val="left"/>
        <w:pBdr>
          <w:bottom w:val="none" w:sz="0" w:space="0" w:color="000000"/>
          <w:top w:val="none" w:sz="0" w:space="0" w:color="000000"/>
          <w:left w:val="none" w:sz="0" w:space="0" w:color="000000"/>
          <w:right w:val="none" w:sz="0" w:space="0" w:color="000000"/>
        </w:pBdr>
        <w:spacing w:after="80" w:before="200" w:line="240"/>
        <w:ind w:left="0" w:right="0" w:firstLine="0" w:firstLineChars="0"/>
      </w:pPr>
      <w:r>
        <w:rPr>
          <w:rFonts w:ascii="Arial" w:hAnsi="Arial" w:eastAsia="Arial" w:cs="Arial"/>
          <w:i w:val="false"/>
          <w:b w:val="true"/>
          <w:u w:val="none"/>
          <w:strike w:val="false"/>
          <w:sz w:val="24"/>
          <w:szCs w:val="24"/>
          <w:color w:val="0F1D3A"/>
        </w:rPr>
        <w:t xml:space="preserve">Część B. Odpowiedzi punkt po punkcie</w:t>
      </w:r>
    </w:p>
    <w:p>
      <w:pPr>
        <w:pStyle w:val="Normal"/>
      </w:pPr>
      <w:r>
        <w:t xml:space="preserve">Uwagi recenzentów zapisano kursywą, odpowiedzi zwykłym tekstem, a miejsce zmiany podano w ostatniej kolumnie. Numery stron i wierszy dotyczą wersji poprawionej.</w:t>
      </w:r>
    </w:p>
    <w:tbl xmlns:a="http://schemas.openxmlformats.org/drawingml/2006/main" xmlns:pic="http://schemas.openxmlformats.org/drawingml/2006/picture">
      <w:tblPr>
        <w:tblLayout w:type="fixed"/>
        <w:jc w:val="center"/>
        <w:tblLook w:firstRow="1" w:lastRow="0" w:firstColumn="0" w:lastColumn="0" w:noHBand="0" w:noVBand="1"/>
      </w:tblPr>
      <w:tblGrid>
        <w:gridCol w:w="720"/>
        <w:gridCol w:w="3168"/>
        <w:gridCol w:w="6624"/>
        <w:gridCol w:w="2304"/>
      </w:tblGrid>
      <w:tr>
        <w:trPr>
          <w:trHeight w:val="360" w:hRule="auto"/>
          <w:tblHeader/>
        </w:trPr>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true"/>
                <w:u w:val="none"/>
                <w:strike w:val="false"/>
                <w:sz w:val="18"/>
                <w:szCs w:val="18"/>
                <w:color w:val="000000"/>
              </w:rPr>
            </w:pPr>
            <w:r>
              <w:rPr>
                <w:rFonts w:ascii="Calibri" w:hAnsi="Calibri" w:eastAsia="Calibri" w:cs="Calibri"/>
                <w:i w:val="false"/>
                <w:b w:val="true"/>
                <w:u w:val="none"/>
                <w:strike w:val="false"/>
                <w:sz w:val="18"/>
                <w:szCs w:val="18"/>
                <w:color w:val="000000"/>
              </w:rPr>
              <w:t xml:space="preserve">Nr</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true"/>
                <w:u w:val="none"/>
                <w:strike w:val="false"/>
                <w:sz w:val="18"/>
                <w:szCs w:val="18"/>
                <w:color w:val="000000"/>
              </w:rPr>
            </w:pPr>
            <w:r>
              <w:rPr>
                <w:rFonts w:ascii="Calibri" w:hAnsi="Calibri" w:eastAsia="Calibri" w:cs="Calibri"/>
                <w:i w:val="false"/>
                <w:b w:val="true"/>
                <w:u w:val="none"/>
                <w:strike w:val="false"/>
                <w:sz w:val="18"/>
                <w:szCs w:val="18"/>
                <w:color w:val="000000"/>
              </w:rPr>
              <w:t xml:space="preserve">Uwaga recenzenta</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true"/>
                <w:u w:val="none"/>
                <w:strike w:val="false"/>
                <w:sz w:val="18"/>
                <w:szCs w:val="18"/>
                <w:color w:val="000000"/>
              </w:rPr>
            </w:pPr>
            <w:r>
              <w:rPr>
                <w:rFonts w:ascii="Calibri" w:hAnsi="Calibri" w:eastAsia="Calibri" w:cs="Calibri"/>
                <w:i w:val="false"/>
                <w:b w:val="true"/>
                <w:u w:val="none"/>
                <w:strike w:val="false"/>
                <w:sz w:val="18"/>
                <w:szCs w:val="18"/>
                <w:color w:val="000000"/>
              </w:rPr>
              <w:t xml:space="preserve">Odpowiedź</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true"/>
                <w:u w:val="none"/>
                <w:strike w:val="false"/>
                <w:sz w:val="18"/>
                <w:szCs w:val="18"/>
                <w:color w:val="000000"/>
              </w:rPr>
            </w:pPr>
            <w:r>
              <w:rPr>
                <w:rFonts w:ascii="Calibri" w:hAnsi="Calibri" w:eastAsia="Calibri" w:cs="Calibri"/>
                <w:i w:val="false"/>
                <w:b w:val="true"/>
                <w:u w:val="none"/>
                <w:strike w:val="false"/>
                <w:sz w:val="18"/>
                <w:szCs w:val="18"/>
                <w:color w:val="000000"/>
              </w:rPr>
              <w:t xml:space="preserve">Zmiana w tekście</w:t>
            </w:r>
          </w:p>
        </w:tc>
      </w:tr>
      <w:tr>
        <w:trPr>
          <w:trHeight w:val="360" w:hRule="auto"/>
        </w:trPr>
        <w:tc>
          <w:tcPr>
            <w:tcBorders>
              <w:bottom w:val="single" w:sz="4" w:space="0" w:color="BFBFBF"/>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R1.1</w:t>
            </w:r>
          </w:p>
        </w:tc>
        <w:tc>
          <w:tcPr>
            <w:tcBorders>
              <w:bottom w:val="single" w:sz="4" w:space="0" w:color="BFBFBF"/>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true"/>
                <w:b w:val="false"/>
                <w:u w:val="none"/>
                <w:strike w:val="false"/>
                <w:sz w:val="18"/>
                <w:szCs w:val="18"/>
                <w:color w:val="000000"/>
              </w:rPr>
            </w:pPr>
            <w:r>
              <w:rPr>
                <w:rFonts w:ascii="Calibri" w:hAnsi="Calibri" w:eastAsia="Calibri" w:cs="Calibri"/>
                <w:i w:val="true"/>
                <w:b w:val="false"/>
                <w:u w:val="none"/>
                <w:strike w:val="false"/>
                <w:sz w:val="18"/>
                <w:szCs w:val="18"/>
                <w:color w:val="000000"/>
              </w:rPr>
              <w:t xml:space="preserve">Związek wsparcia z obniżonym poczuciem skuteczności okazał się nieistotny. Proszę podać moc post hoc tego testu.</w:t>
            </w:r>
          </w:p>
        </w:tc>
        <w:tc>
          <w:tcPr>
            <w:tcBorders>
              <w:bottom w:val="single" w:sz="4" w:space="0" w:color="BFBFBF"/>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Dziękujemy. Proponujemy nie podawać mocy obserwowanej (post hoc), ponieważ jest ona bezpośrednią funkcją wartości p i nie wnosi nowej informacji (Hoenig i Heisey, 2001). Zamiast niej podajemy analizę wrażliwości: przy N = 440 i α = .05 test miał 80% mocy dla efektu f² = 0.018 (r cząstkowe = .13). 95% przedział ufności dla współczynnika standaryzowanego, β = 0.04 [−0.05, 0.14], pokazuje, jakie efekty są zgodne z danymi (s. [X], w. [Y–Z]).</w:t>
            </w:r>
          </w:p>
        </w:tc>
        <w:tc>
          <w:tcPr>
            <w:tcBorders>
              <w:bottom w:val="single" w:sz="4" w:space="0" w:color="BFBFBF"/>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Metoda (analiza wrażliwości), s. [X], w. [Y–Z]</w:t>
            </w:r>
          </w:p>
        </w:tc>
      </w:tr>
      <w:tr>
        <w:trPr>
          <w:trHeight w:val="360" w:hRule="auto"/>
        </w:trPr>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R1.2</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true"/>
                <w:b w:val="false"/>
                <w:u w:val="none"/>
                <w:strike w:val="false"/>
                <w:sz w:val="18"/>
                <w:szCs w:val="18"/>
                <w:color w:val="000000"/>
              </w:rPr>
            </w:pPr>
            <w:r>
              <w:rPr>
                <w:rFonts w:ascii="Calibri" w:hAnsi="Calibri" w:eastAsia="Calibri" w:cs="Calibri"/>
                <w:i w:val="true"/>
                <w:b w:val="false"/>
                <w:u w:val="none"/>
                <w:strike w:val="false"/>
                <w:sz w:val="18"/>
                <w:szCs w:val="18"/>
                <w:color w:val="000000"/>
              </w:rPr>
              <w:t xml:space="preserve">Sześć testów (dwa predyktory × trzy wymiary wypalenia) przedstawiono bez korekty na wielokrotne testowanie. Proszę ją zastosować albo uzasadnić jej brak.</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Zgadzamy się. Sześć testów dotyczy jednej rodziny hipotez (H1 i H2), dlatego stosujemy procedurę Holma. Istotne pozostały cztery z pięciu związków (największe skorygowane p = .003), ale związek wsparcia z cynizmem (b = −0.16, p = .030) już nie (p po korekcie Holma = .060). Zmieniliśmy wyniki, dyskusję i streszczenie, a skorygowane wartości p podajemy w Tabeli [N] (s. [X], w. [Y–Z]).</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Wyniki i Tabela [N]; streszczenie; dyskusja</w:t>
            </w:r>
          </w:p>
        </w:tc>
      </w:tr>
      <w:tr>
        <w:trPr>
          <w:trHeight w:val="360" w:hRule="auto"/>
        </w:trPr>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R1.3</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true"/>
                <w:b w:val="false"/>
                <w:u w:val="none"/>
                <w:strike w:val="false"/>
                <w:sz w:val="18"/>
                <w:szCs w:val="18"/>
                <w:color w:val="000000"/>
              </w:rPr>
            </w:pPr>
            <w:r>
              <w:rPr>
                <w:rFonts w:ascii="Calibri" w:hAnsi="Calibri" w:eastAsia="Calibri" w:cs="Calibri"/>
                <w:i w:val="true"/>
                <w:b w:val="false"/>
                <w:u w:val="none"/>
                <w:strike w:val="false"/>
                <w:sz w:val="18"/>
                <w:szCs w:val="18"/>
                <w:color w:val="000000"/>
              </w:rPr>
              <w:t xml:space="preserve">Proszę uwzględnić jako zmienne kontrolne wiek, płeć, typ szkoły i satysfakcję z pracy, które wiążą się z wypaleniem.</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Dziękujemy. Dodaliśmy wiek, płeć i typ szkoły, które mogą wpływać na obciążenie i na wypalenie; wyniki praktycznie się nie zmieniły (obciążenie b = 0.65, 95% CI [0.52, 0.77]; wsparcie b = −0.23, 95% CI [−0.36, −0.10]). Nie dodaliśmy do modelu głównego satysfakcji z pracy, ponieważ jest ona prawdopodobnie skutkiem obciążenia (mediatorem), a niewłaściwe zmienne kontrolne mogą zwiększyć obciążenie oszacowań (Wysocki i in., 2022). Model z satysfakcją podajemy w Tabeli S[N].</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Tabela [N]; Tabela S[N]</w:t>
            </w:r>
          </w:p>
        </w:tc>
      </w:tr>
      <w:tr>
        <w:trPr>
          <w:trHeight w:val="360" w:hRule="auto"/>
        </w:trPr>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R1.4</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true"/>
                <w:b w:val="false"/>
                <w:u w:val="none"/>
                <w:strike w:val="false"/>
                <w:sz w:val="18"/>
                <w:szCs w:val="18"/>
                <w:color w:val="000000"/>
              </w:rPr>
            </w:pPr>
            <w:r>
              <w:rPr>
                <w:rFonts w:ascii="Calibri" w:hAnsi="Calibri" w:eastAsia="Calibri" w:cs="Calibri"/>
                <w:i w:val="true"/>
                <w:b w:val="false"/>
                <w:u w:val="none"/>
                <w:strike w:val="false"/>
                <w:sz w:val="18"/>
                <w:szCs w:val="18"/>
                <w:color w:val="000000"/>
              </w:rPr>
              <w:t xml:space="preserve">Nauczyciele są zagnieżdżeni w 40 szkołach. Proszę uwzględnić tę strukturę danych, np. w modelu wielopoziomowym, i podać korelację wewnątrzklasową.</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Zgadzamy się. Korelacja wewnątrzklasowa dla wyczerpania wyniosła ICC = .10, dlatego oszacowaliśmy liniowy model mieszany z losowym wyrazem wolnym szkoły (REML, stopnie swobody Satterthwaite’a). Efekty stałe były bardzo zbliżone: obciążenie b = 0.63, 95% CI [0.51, 0.75]; wsparcie b = −0.24, 95% CI [−0.37, −0.12]; oba p &lt; .001. Ten model jest teraz analizą główną (s. [X], w. [Y–Z]), a model jednopoziomowy podajemy w Tabeli S[N].</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Metoda i wyniki, s. [X], w. [Y–Z]; Tabela S[N]</w:t>
            </w:r>
          </w:p>
        </w:tc>
      </w:tr>
      <w:tr>
        <w:trPr>
          <w:trHeight w:val="360" w:hRule="auto"/>
        </w:trPr>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R1.5</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true"/>
                <w:b w:val="false"/>
                <w:u w:val="none"/>
                <w:strike w:val="false"/>
                <w:sz w:val="18"/>
                <w:szCs w:val="18"/>
                <w:color w:val="000000"/>
              </w:rPr>
            </w:pPr>
            <w:r>
              <w:rPr>
                <w:rFonts w:ascii="Calibri" w:hAnsi="Calibri" w:eastAsia="Calibri" w:cs="Calibri"/>
                <w:i w:val="true"/>
                <w:b w:val="false"/>
                <w:u w:val="none"/>
                <w:strike w:val="false"/>
                <w:sz w:val="18"/>
                <w:szCs w:val="18"/>
                <w:color w:val="000000"/>
              </w:rPr>
              <w:t xml:space="preserve">Dane są dostępne „na uzasadnioną prośbę”. Proszę udostępnić dane i kod w publicznym repozytorium albo wyjaśnić, dlaczego nie jest to możliwe.</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Dziękujemy. Zanonimizowane dane, książkę kodową i kod R odtwarzający wszystkie wyniki umieściliśmy w repozytorium [nazwa] ([DOI]), a deklaracja dostępności danych brzmi: „Dane i kod analiz są ogólnodostępne w repozytorium [nazwa] pod adresem [DOI]”. Usunęliśmy identyfikatory bezpośrednie i [np. zastąpiliśmy wiek przedziałami]. [Jeśli danych nie można udostępnić: Uczestnicy nie zgodzili się na publiczne udostępnienie, dlatego udostępniamy (dane syntetyczne / zagregowane / dostęp kontrolowany) i pełny kod.]</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Deklaracja dostępności danych</w:t>
            </w:r>
          </w:p>
        </w:tc>
      </w:tr>
      <w:tr>
        <w:trPr>
          <w:trHeight w:val="360" w:hRule="auto"/>
        </w:trPr>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R2.1</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true"/>
                <w:b w:val="false"/>
                <w:u w:val="none"/>
                <w:strike w:val="false"/>
                <w:sz w:val="18"/>
                <w:szCs w:val="18"/>
                <w:color w:val="000000"/>
              </w:rPr>
            </w:pPr>
            <w:r>
              <w:rPr>
                <w:rFonts w:ascii="Calibri" w:hAnsi="Calibri" w:eastAsia="Calibri" w:cs="Calibri"/>
                <w:i w:val="true"/>
                <w:b w:val="false"/>
                <w:u w:val="none"/>
                <w:strike w:val="false"/>
                <w:sz w:val="18"/>
                <w:szCs w:val="18"/>
                <w:color w:val="000000"/>
              </w:rPr>
              <w:t xml:space="preserve">Skala wsparcia ma wyjątkowo niską rzetelność (α = .35), a jej dodatni współczynnik przeczy wcześniejszym badaniom. Proszę sprawdzić sposób obliczania wyników tej skali.</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Dziękujemy – ta uwaga pozwoliła wykryć błąd: pozycja 3 skali wsparcia jest sformułowana negatywnie, ale nie została odwrócona. Po korekcie α = .77 (wcześniej .35), a wsparcie wiąże się ujemnie z wyczerpaniem, b = −0.22, 95% CI [−0.35, −0.09], p &lt; .001 (wcześniej b = 0.11, 95% CI [−0.06, 0.29], p = .191). Hipoteza 2 została więc potwierdzona; zmieniliśmy streszczenie, wyniki i dyskusję (s. [X], w. [Y–Z]). Współczynnik obciążenia prawie się nie zmienił (b = 0.65 wobec 0.67). Sprawdziliśmy kodowanie wszystkich skal i powtórzyliśmy analizy od danych surowych jednym skryptem.</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Streszczenie, wyniki, dyskusja, s. [X], w. [Y–Z]</w:t>
            </w:r>
          </w:p>
        </w:tc>
      </w:tr>
      <w:tr>
        <w:trPr>
          <w:trHeight w:val="360" w:hRule="auto"/>
        </w:trPr>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R2.2</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true"/>
                <w:b w:val="false"/>
                <w:u w:val="none"/>
                <w:strike w:val="false"/>
                <w:sz w:val="18"/>
                <w:szCs w:val="18"/>
                <w:color w:val="000000"/>
              </w:rPr>
            </w:pPr>
            <w:r>
              <w:rPr>
                <w:rFonts w:ascii="Calibri" w:hAnsi="Calibri" w:eastAsia="Calibri" w:cs="Calibri"/>
                <w:i w:val="true"/>
                <w:b w:val="false"/>
                <w:u w:val="none"/>
                <w:strike w:val="false"/>
                <w:sz w:val="18"/>
                <w:szCs w:val="18"/>
                <w:color w:val="000000"/>
              </w:rPr>
              <w:t xml:space="preserve">Rysunek 2 sugeruje kilka osób z maksymalnym obciążeniem i minimalnym wyczerpaniem. Czy sprawdzono obserwacje odstające i czy wpływają one na wyniki?</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Dziękujemy. Reszty studentyzowane (|t| &gt; 3) wskazały sześć osób (t = −3.18), które przy każdej pozycji obciążenia wybrały najwyższą, a przy pozostałych najniższą odpowiedź, co sugeruje nieuważne odpowiadanie. Reguły nie zarejestrowaliśmy wcześniej, więc analizą główną pozostaje pełna próba; zgodnie z zaleceniem Leysa i in. (2019) podajemy też wyniki bez tych osób (obciążenie b = 0.76, 95% CI [0.64, 0.87]; wsparcie b = −0.29, 95% CI [−0.41, −0.17]) i regresji odpornej MM. Wnioski się nie zmieniają (Tabela S[N]).</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Wyniki, s. [X], w. [Y–Z]; Tabela S[N]</w:t>
            </w:r>
          </w:p>
        </w:tc>
      </w:tr>
      <w:tr>
        <w:trPr>
          <w:trHeight w:val="360" w:hRule="auto"/>
        </w:trPr>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R2.3</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true"/>
                <w:b w:val="false"/>
                <w:u w:val="none"/>
                <w:strike w:val="false"/>
                <w:sz w:val="18"/>
                <w:szCs w:val="18"/>
                <w:color w:val="000000"/>
              </w:rPr>
            </w:pPr>
            <w:r>
              <w:rPr>
                <w:rFonts w:ascii="Calibri" w:hAnsi="Calibri" w:eastAsia="Calibri" w:cs="Calibri"/>
                <w:i w:val="true"/>
                <w:b w:val="false"/>
                <w:u w:val="none"/>
                <w:strike w:val="false"/>
                <w:sz w:val="18"/>
                <w:szCs w:val="18"/>
                <w:color w:val="000000"/>
              </w:rPr>
              <w:t xml:space="preserve">Liczebność spada z 480 do 440 osób, ale nie opisano postępowania z brakami danych. Proszę je opisać i zastosować odpowiednią metodę.</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Zgadzamy się i dodaliśmy opis braków danych (s. [X], w. [Y–Z]). Czterdziestu nauczycieli (8.3%) pominęło pytania o wsparcie; w innych zmiennych braków nie było. Osoby te deklarowały wyższe wyczerpanie (M = 3.88 wobec 3.27), więc braki raczej nie są całkowicie losowe. Zgodnie z zaleceniami Schafera i Grahama (2002) oszacowaliśmy model metodą FIML (480 osób, założenie MAR): obciążenie b = 0.68, 95% CI [0.56, 0.79]; wsparcie b = −0.22, 95% CI [−0.34, −0.09]. Wyniki dla pełnych przypadków podajemy w Tabeli S[N].</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Metoda (braki danych), s. [X], w. [Y–Z]; Tabela S[N]</w:t>
            </w:r>
          </w:p>
        </w:tc>
      </w:tr>
      <w:tr>
        <w:trPr>
          <w:trHeight w:val="360" w:hRule="auto"/>
        </w:trPr>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R2.4</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true"/>
                <w:b w:val="false"/>
                <w:u w:val="none"/>
                <w:strike w:val="false"/>
                <w:sz w:val="18"/>
                <w:szCs w:val="18"/>
                <w:color w:val="000000"/>
              </w:rPr>
            </w:pPr>
            <w:r>
              <w:rPr>
                <w:rFonts w:ascii="Calibri" w:hAnsi="Calibri" w:eastAsia="Calibri" w:cs="Calibri"/>
                <w:i w:val="true"/>
                <w:b w:val="false"/>
                <w:u w:val="none"/>
                <w:strike w:val="false"/>
                <w:sz w:val="18"/>
                <w:szCs w:val="18"/>
                <w:color w:val="000000"/>
              </w:rPr>
              <w:t xml:space="preserve">Rozkład wyczerpania jest skośny, a test Shapiro–Wilka – istotny (p &lt; .001). Proszę zastosować metody nieparametryczne albo przekształcić zmienną.</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Dziękujemy. Jak wyjaśniają Williams i in. (2013), regresja liniowa zakłada normalność błędów, a nie zmiennej zależnej. Reszty naszego modelu odbiegały od normalności tylko nieznacznie (skośność = −0.16, kurtoza = 0.29); przy N = 440 test Shapiro–Wilka wykrywa nawet takie odchylenia (W = .990, p = .004). Przedziały ufności z błędami HC3 i z bootstrapu (2000 prób) były praktycznie identyczne (obciążenie: [0.52, 0.78] i [0.52, 0.79]; wsparcie: [−0.35, −0.09] w obu), więc wnioski nie zależą od tego założenia (s. [X], w. [Y–Z]).</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Wyniki, s. [X], w. [Y–Z]</w:t>
            </w:r>
          </w:p>
        </w:tc>
      </w:tr>
      <w:tr>
        <w:trPr>
          <w:trHeight w:val="360" w:hRule="auto"/>
        </w:trPr>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R2.5</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true"/>
                <w:b w:val="false"/>
                <w:u w:val="none"/>
                <w:strike w:val="false"/>
                <w:sz w:val="18"/>
                <w:szCs w:val="18"/>
                <w:color w:val="000000"/>
              </w:rPr>
            </w:pPr>
            <w:r>
              <w:rPr>
                <w:rFonts w:ascii="Calibri" w:hAnsi="Calibri" w:eastAsia="Calibri" w:cs="Calibri"/>
                <w:i w:val="true"/>
                <w:b w:val="false"/>
                <w:u w:val="none"/>
                <w:strike w:val="false"/>
                <w:sz w:val="18"/>
                <w:szCs w:val="18"/>
                <w:color w:val="000000"/>
              </w:rPr>
              <w:t xml:space="preserve">Wszystkie zmienne zmierzono samoopisowo w jednym badaniu. Proszę odnieść się do błędu wspólnej metody, np. za pomocą testu jednego czynnika Harmana.</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Zgadzamy się, że błąd wspólnej metody jest możliwy. Zgodnie z prośbą wykonaliśmy test jednego czynnika Harmana: pierwsza nierotowana składowa wyjaśniała 29.2% wariancji pozycji. Aguirre-Urreta i Hu (2019) wykazali jednak, że test ten słabo wykrywa efekty wspólnej metody, więc nie traktujemy wyniku jako dowodu braku błędu. W części o ograniczeniach (s. [X], w. [Y–Z]) opisujemy zabezpieczenia proceduralne [np. anonimowość, różne formaty odpowiedzi] i możliwe zawyżenie związków, a – zgodnie z przeglądem Podsakoffa i in. (2003) – zalecamy dane z wielu źródeł lub pomiary rozdzielone w czasie.</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Ograniczenia, s. [X], w. [Y–Z]</w:t>
            </w:r>
          </w:p>
        </w:tc>
      </w:tr>
      <w:tr>
        <w:trPr>
          <w:trHeight w:val="360" w:hRule="auto"/>
        </w:trPr>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R2.6</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true"/>
                <w:b w:val="false"/>
                <w:u w:val="none"/>
                <w:strike w:val="false"/>
                <w:sz w:val="18"/>
                <w:szCs w:val="18"/>
                <w:color w:val="000000"/>
              </w:rPr>
            </w:pPr>
            <w:r>
              <w:rPr>
                <w:rFonts w:ascii="Calibri" w:hAnsi="Calibri" w:eastAsia="Calibri" w:cs="Calibri"/>
                <w:i w:val="true"/>
                <w:b w:val="false"/>
                <w:u w:val="none"/>
                <w:strike w:val="false"/>
                <w:sz w:val="18"/>
                <w:szCs w:val="18"/>
                <w:color w:val="000000"/>
              </w:rPr>
              <w:t xml:space="preserve">Kobiety i mężczyzn porównano pod względem wyczerpania, ale nie sprawdzono inwariancji pomiaru względem płci.</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Dziękujemy. Inwariancję skali wyczerpania sprawdziliśmy wielogrupową CFA (kobiety: n = 362, mężczyźni: n = 118; MLR). Model konfiguracyjny był dobrze dopasowany według CFI i SRMR, χ²(10) = 22.06, CFI = .989, RMSEA = .074, SRMR = .020. Równość ładunków, a potem wyrazów wolnych nie pogorszyła dopasowania: Δχ²(4) = 2.47, p = .650, ΔCFI = .001, ΔRMSEA = −.015; Δχ²(4) = 1.22, p = .874, ΔCFI = .002, ΔRMSEA = −.014. Inwariancja skalarna uzasadnia porównanie średnich latentnych (Tabela S[N]).</w:t>
            </w:r>
          </w:p>
        </w:tc>
        <w:tc>
          <w:tcPr>
            <w:tcBorders>
              <w:bottom w:val="single" w:sz="4" w:space="0" w:color="BFBFBF"/>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Metoda i Tabela S[N]</w:t>
            </w:r>
          </w:p>
        </w:tc>
      </w:tr>
      <w:tr>
        <w:trPr>
          <w:trHeight w:val="360" w:hRule="auto"/>
        </w:trPr>
        <w:tc>
          <w:tcPr>
            <w:tcBorders>
              <w:bottom w:val="single" w:sz="12" w:space="0" w:color="666666"/>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R2.7</w:t>
            </w:r>
          </w:p>
        </w:tc>
        <w:tc>
          <w:tcPr>
            <w:tcBorders>
              <w:bottom w:val="single" w:sz="12" w:space="0" w:color="666666"/>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true"/>
                <w:b w:val="false"/>
                <w:u w:val="none"/>
                <w:strike w:val="false"/>
                <w:sz w:val="18"/>
                <w:szCs w:val="18"/>
                <w:color w:val="000000"/>
              </w:rPr>
            </w:pPr>
            <w:r>
              <w:rPr>
                <w:rFonts w:ascii="Calibri" w:hAnsi="Calibri" w:eastAsia="Calibri" w:cs="Calibri"/>
                <w:i w:val="true"/>
                <w:b w:val="false"/>
                <w:u w:val="none"/>
                <w:strike w:val="false"/>
                <w:sz w:val="18"/>
                <w:szCs w:val="18"/>
                <w:color w:val="000000"/>
              </w:rPr>
              <w:t xml:space="preserve">Schemat badania jest przekrojowy, a mimo to obciążenie „prowadzi do” wypalenia, a wsparcie „chroni” nauczycieli. Proszę zmienić język przyczynowy.</w:t>
            </w:r>
          </w:p>
        </w:tc>
        <w:tc>
          <w:tcPr>
            <w:tcBorders>
              <w:bottom w:val="single" w:sz="12" w:space="0" w:color="666666"/>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Zgadzamy się, że schemat przekrojowy nie pozwala na wnioski przyczynowe. W całym tekście zastąpiliśmy czasowniki przyczynowe (np. „prowadzi do”, „chroni”) sformułowaniami opisującymi związek (np. „wiązało się z”); wszystkie zmienione zdania zestawiamy poniżej. W części o ograniczeniach dodaliśmy, że nie można wykluczyć odwrotnego kierunku zależności ani wpływu niezmierzonych zmiennych zakłócających (s. [X], w. [Y–Z]), a tytuł brzmi teraz „[nowy tytuł]”.</w:t>
            </w:r>
          </w:p>
        </w:tc>
        <w:tc>
          <w:tcPr>
            <w:tcBorders>
              <w:bottom w:val="single" w:sz="12" w:space="0" w:color="666666"/>
              <w:top w:val="single" w:sz="4" w:space="0" w:color="BFBFBF"/>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Calibri" w:hAnsi="Calibri" w:eastAsia="Calibri" w:cs="Calibri"/>
                <w:i w:val="false"/>
                <w:b w:val="false"/>
                <w:u w:val="none"/>
                <w:strike w:val="false"/>
                <w:sz w:val="18"/>
                <w:szCs w:val="18"/>
                <w:color w:val="000000"/>
              </w:rPr>
            </w:pPr>
            <w:r>
              <w:rPr>
                <w:rFonts w:ascii="Calibri" w:hAnsi="Calibri" w:eastAsia="Calibri" w:cs="Calibri"/>
                <w:i w:val="false"/>
                <w:b w:val="false"/>
                <w:u w:val="none"/>
                <w:strike w:val="false"/>
                <w:sz w:val="18"/>
                <w:szCs w:val="18"/>
                <w:color w:val="000000"/>
              </w:rPr>
              <w:t xml:space="preserve">Tytuł, streszczenie, dyskusja, ograniczenia</w:t>
            </w:r>
          </w:p>
        </w:tc>
      </w:tr>
    </w:tbl>
    <w:p>
      <w:pPr>
        <w:pStyle w:val="Normal"/>
        <w:jc w:val="left"/>
        <w:pBdr>
          <w:bottom w:val="none" w:sz="0" w:space="0" w:color="000000"/>
          <w:top w:val="none" w:sz="0" w:space="0" w:color="000000"/>
          <w:left w:val="none" w:sz="0" w:space="0" w:color="000000"/>
          <w:right w:val="none" w:sz="0" w:space="0" w:color="000000"/>
        </w:pBdr>
        <w:spacing w:after="80" w:before="200" w:line="240"/>
        <w:ind w:left="0" w:right="0" w:firstLine="0" w:firstLineChars="0"/>
      </w:pPr>
      <w:r>
        <w:rPr>
          <w:rFonts w:ascii="Arial" w:hAnsi="Arial" w:eastAsia="Arial" w:cs="Arial"/>
          <w:i w:val="false"/>
          <w:b w:val="true"/>
          <w:u w:val="none"/>
          <w:strike w:val="false"/>
          <w:sz w:val="24"/>
          <w:szCs w:val="24"/>
          <w:color w:val="0F1D3A"/>
        </w:rPr>
        <w:t xml:space="preserve">Część C. Sprzeczne uwagi recenzentów – osobny list do redakcji</w:t>
      </w:r>
    </w:p>
    <w:p>
      <w:pPr>
        <w:pStyle w:val="Normal"/>
      </w:pPr>
      <w:r>
        <w:t xml:space="preserve">Szanowni Państwo, dwie uwagi wskazują przeciwne kierunki zmian: Recenzent 1 (uwaga [numer]) prosi o [np. przedstawienie wyłącznie modelu mieszanego], a Recenzent 2 (uwaga [numer]) – o [np. pozostawienie modelu jednopoziomowego]. Proponujemy [np. model mieszany jako analizę główną, a jednopoziomowy w suplemencie], ponieważ [uzasadnienie]. Prosimy o informację, jeśli Redakcja woli inne rozwiązanie.</w:t>
      </w:r>
    </w:p>
    <w:p>
      <w:pPr>
        <w:pStyle w:val="Normal"/>
        <w:jc w:val="left"/>
        <w:pBdr>
          <w:bottom w:val="none" w:sz="0" w:space="0" w:color="000000"/>
          <w:top w:val="none" w:sz="0" w:space="0" w:color="000000"/>
          <w:left w:val="none" w:sz="0" w:space="0" w:color="000000"/>
          <w:right w:val="none" w:sz="0" w:space="0" w:color="000000"/>
        </w:pBdr>
        <w:spacing w:after="80" w:before="200" w:line="240"/>
        <w:ind w:left="0" w:right="0" w:firstLine="0" w:firstLineChars="0"/>
      </w:pPr>
      <w:r>
        <w:rPr>
          <w:rFonts w:ascii="Arial" w:hAnsi="Arial" w:eastAsia="Arial" w:cs="Arial"/>
          <w:i w:val="false"/>
          <w:b w:val="true"/>
          <w:u w:val="none"/>
          <w:strike w:val="false"/>
          <w:sz w:val="24"/>
          <w:szCs w:val="24"/>
          <w:color w:val="0F1D3A"/>
        </w:rPr>
        <w:t xml:space="preserve">Lista kontrolna przed wysłaniem</w:t>
      </w:r>
    </w:p>
    <w:p>
      <w:pPr>
        <w:pStyle w:val="Normal"/>
      </w:pPr>
      <w:r>
        <w:t xml:space="preserve">• Każda uwaga ma numer i odpowiedź; uwagi z kilkoma sprawami podzielono na części.</w:t>
      </w:r>
    </w:p>
    <w:p>
      <w:pPr>
        <w:pStyle w:val="Normal"/>
      </w:pPr>
      <w:r>
        <w:t xml:space="preserve">• Każda odpowiedź zaczyna się od sedna: zgadzamy się / nie zgadzamy się i co zrobiliśmy.</w:t>
      </w:r>
    </w:p>
    <w:p>
      <w:pPr>
        <w:pStyle w:val="Normal"/>
      </w:pPr>
      <w:r>
        <w:t xml:space="preserve">• Przy każdej zmianie jest cytat nowego fragmentu oraz strona i wiersze w wersji poprawionej.</w:t>
      </w:r>
    </w:p>
    <w:p>
      <w:pPr>
        <w:pStyle w:val="Normal"/>
      </w:pPr>
      <w:r>
        <w:t xml:space="preserve">• Nowe analizy są w tabeli lub suplemencie, z tymi samymi liczbami co w tekście i streszczeniu.</w:t>
      </w:r>
    </w:p>
    <w:p>
      <w:pPr>
        <w:pStyle w:val="Normal"/>
      </w:pPr>
      <w:r>
        <w:t xml:space="preserve">• Każda niezgoda ma uzasadnienie, źródło i propozycję kompromisu.</w:t>
      </w:r>
    </w:p>
    <w:p>
      <w:pPr>
        <w:pStyle w:val="Normal"/>
      </w:pPr>
      <w:r>
        <w:t xml:space="preserve">• Kod analiz odtwarza wszystkie liczby z rękopisu i z odpowiedzi.</w:t>
      </w:r>
    </w:p>
    <w:sectPr>
      <w:pgMar w:header="708" w:bottom="1152" w:top="1152" w:right="1152" w:left="1152" w:footer="708" w:gutter="0"/>
      <w:pgSz w:h="11906" w:w="16838" w:orient="landscape"/>
      <w:type w:val="continuous"/>
      <w:cols/>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925FD"/>
    <w:multiLevelType w:val="multilevel"/>
    <w:tmpl w:val="88F45F0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Titre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B882B35"/>
    <w:multiLevelType w:val="multilevel"/>
    <w:tmpl w:val="6F30E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EFC3234"/>
    <w:multiLevelType w:val="multilevel"/>
    <w:tmpl w:val="0A8631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xmlns:w="http://schemas.openxmlformats.org/wordprocessingml/2006/main" w:percent="180"/>
  <w:defaultTabStop xmlns:w="http://schemas.openxmlformats.org/wordprocessingml/2006/main" w:val="708"/>
  <w:hyphenationZone xmlns:w="http://schemas.openxmlformats.org/wordprocessingml/2006/main" w:val="425"/>
  <w:characterSpacingControl w:val="doNotCompress"/>
  <w:compat xmlns:w="http://schemas.openxmlformats.org/wordprocessingml/2006/main">
    <w:compatSetting w:name="compatibilityMode" w:uri="http://schemas.microsoft.com/office/word" w:val="15"/>
  </w:compat>
  <w:rsids>
    <w:rsidRoot w:val="00B4379D"/>
    <w:rsid w:val="00036527"/>
    <w:rsid w:val="00073835"/>
    <w:rsid w:val="001379FE"/>
    <w:rsid w:val="001C0A13"/>
    <w:rsid w:val="001D75AB"/>
    <w:rsid w:val="0035500D"/>
    <w:rsid w:val="00362E65"/>
    <w:rsid w:val="004158F9"/>
    <w:rsid w:val="00457CF1"/>
    <w:rsid w:val="00747CCE"/>
    <w:rsid w:val="007B3E96"/>
    <w:rsid w:val="008F1F48"/>
    <w:rsid w:val="00901463"/>
    <w:rsid w:val="00946CB3"/>
    <w:rsid w:val="00AE18EF"/>
    <w:rsid w:val="00AE1BDD"/>
    <w:rsid w:val="00B3547C"/>
    <w:rsid w:val="00B4379D"/>
    <w:rsid w:val="00C27329"/>
    <w:rsid w:val="00C31EEB"/>
    <w:rsid w:val="00F12158"/>
    <w:rsid w:val="00FB63E7"/>
    <w:rsid w:val="00FC55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xmlns:w="http://schemas.openxmlformats.org/wordprocessingml/2006/main" w:val=","/>
  <w:listSeparator xmlns:w="http://schemas.openxmlformats.org/wordprocessingml/2006/main" w:val=";"/>
  <w14:defaultImageDpi w14:val="300"/>
  <w15:docId w15:val="{82A812A4-2F41-F746-AAB1-47BA7D9E84C6}"/>
  <w:evenAndOddHeaders xmlns:w="http://schemas.openxmlformats.org/wordprocessingml/2006/main"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62E65"/>
    <w:pPr>
      <w:keepNext/>
      <w:keepLines/>
      <w:numPr>
        <w:numId w:val="3"/>
      </w:numPr>
      <w:pBdr>
        <w:bottom w:val="single" w:sz="4" w:space="1" w:color="auto"/>
      </w:pBdr>
      <w:spacing w:before="480"/>
      <w:outlineLvl w:val="0"/>
    </w:pPr>
    <w:rPr>
      <w:rFonts w:asciiTheme="majorHAnsi" w:eastAsiaTheme="majorEastAsia" w:hAnsiTheme="majorHAnsi" w:cstheme="majorBidi"/>
      <w:b/>
      <w:bCs/>
      <w:sz w:val="32"/>
      <w:szCs w:val="32"/>
    </w:rPr>
  </w:style>
  <w:style w:type="paragraph" w:styleId="Titre2">
    <w:name w:val="heading 2"/>
    <w:basedOn w:val="Normal"/>
    <w:next w:val="Normal"/>
    <w:link w:val="Titre2Car"/>
    <w:uiPriority w:val="9"/>
    <w:semiHidden/>
    <w:unhideWhenUsed/>
    <w:qFormat/>
    <w:rsid w:val="00362E65"/>
    <w:pPr>
      <w:keepNext/>
      <w:keepLines/>
      <w:numPr>
        <w:ilvl w:val="1"/>
        <w:numId w:val="3"/>
      </w:numPr>
      <w:spacing w:before="200"/>
      <w:outlineLvl w:val="1"/>
    </w:pPr>
    <w:rPr>
      <w:rFonts w:asciiTheme="majorHAnsi" w:eastAsiaTheme="majorEastAsia" w:hAnsiTheme="majorHAnsi" w:cstheme="majorBidi"/>
      <w:b/>
      <w:bCs/>
      <w:sz w:val="26"/>
      <w:szCs w:val="26"/>
    </w:rPr>
  </w:style>
  <w:style w:type="paragraph" w:styleId="Titre3">
    <w:name w:val="heading 3"/>
    <w:basedOn w:val="Normal"/>
    <w:next w:val="Normal"/>
    <w:link w:val="Titre3Car"/>
    <w:uiPriority w:val="9"/>
    <w:semiHidden/>
    <w:unhideWhenUsed/>
    <w:qFormat/>
    <w:rsid w:val="00362E65"/>
    <w:pPr>
      <w:keepNext/>
      <w:keepLines/>
      <w:numPr>
        <w:ilvl w:val="2"/>
        <w:numId w:val="3"/>
      </w:numPr>
      <w:spacing w:before="200"/>
      <w:outlineLvl w:val="2"/>
    </w:pPr>
    <w:rPr>
      <w:rFonts w:asciiTheme="majorHAnsi" w:eastAsiaTheme="majorEastAsia" w:hAnsiTheme="majorHAnsi" w:cstheme="majorBidi"/>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strong">
    <w:name w:val="strong"/>
    <w:basedOn w:val="Policepardfaut"/>
    <w:uiPriority w:val="1"/>
    <w:qFormat/>
    <w:rsid w:val="007B3E96"/>
    <w:rPr>
      <w:b/>
    </w:rPr>
  </w:style>
  <w:style w:type="paragraph" w:customStyle="1" w:styleId="centered">
    <w:name w:val="centered"/>
    <w:basedOn w:val="Normal"/>
    <w:qFormat/>
    <w:rsid w:val="001D75AB"/>
    <w:pPr>
      <w:jc w:val="center"/>
    </w:pPr>
  </w:style>
  <w:style w:type="table" w:customStyle="1" w:styleId="tabletemplate">
    <w:name w:val="table_template"/>
    <w:basedOn w:val="TableauNormal"/>
    <w:uiPriority w:val="59"/>
    <w:rsid w:val="00F12158"/>
    <w:pPr>
      <w:jc w:val="right"/>
    </w:p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table" w:styleId="Listeclaire-Accent2">
    <w:name w:val="Light List Accent 2"/>
    <w:basedOn w:val="TableauNormal"/>
    <w:uiPriority w:val="61"/>
    <w:rsid w:val="00FC557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Titre1Car">
    <w:name w:val="Titre 1 Car"/>
    <w:basedOn w:val="Policepardfaut"/>
    <w:link w:val="Titre1"/>
    <w:uiPriority w:val="9"/>
    <w:rsid w:val="00362E65"/>
    <w:rPr>
      <w:rFonts w:asciiTheme="majorHAnsi" w:eastAsiaTheme="majorEastAsia" w:hAnsiTheme="majorHAnsi" w:cstheme="majorBidi"/>
      <w:b/>
      <w:bCs/>
      <w:sz w:val="32"/>
      <w:szCs w:val="32"/>
    </w:rPr>
  </w:style>
  <w:style w:type="character" w:customStyle="1" w:styleId="Titre2Car">
    <w:name w:val="Titre 2 Car"/>
    <w:basedOn w:val="Policepardfaut"/>
    <w:link w:val="Titre2"/>
    <w:uiPriority w:val="9"/>
    <w:semiHidden/>
    <w:rsid w:val="00362E65"/>
    <w:rPr>
      <w:rFonts w:asciiTheme="majorHAnsi" w:eastAsiaTheme="majorEastAsia" w:hAnsiTheme="majorHAnsi" w:cstheme="majorBidi"/>
      <w:b/>
      <w:bCs/>
      <w:sz w:val="26"/>
      <w:szCs w:val="26"/>
    </w:rPr>
  </w:style>
  <w:style w:type="character" w:customStyle="1" w:styleId="Titre3Car">
    <w:name w:val="Titre 3 Car"/>
    <w:basedOn w:val="Policepardfaut"/>
    <w:link w:val="Titre3"/>
    <w:uiPriority w:val="9"/>
    <w:semiHidden/>
    <w:rsid w:val="00362E65"/>
    <w:rPr>
      <w:rFonts w:asciiTheme="majorHAnsi" w:eastAsiaTheme="majorEastAsia" w:hAnsiTheme="majorHAnsi" w:cstheme="majorBidi"/>
      <w:b/>
      <w:bCs/>
    </w:rPr>
  </w:style>
  <w:style w:type="paragraph" w:customStyle="1" w:styleId="ImageCaption">
    <w:name w:val="Image Caption"/>
    <w:basedOn w:val="Normal"/>
    <w:qFormat/>
    <w:rsid w:val="00AE18EF"/>
    <w:pPr>
      <w:jc w:val="center"/>
    </w:pPr>
    <w:rPr>
      <w:b/>
      <w:i/>
    </w:rPr>
  </w:style>
  <w:style w:type="paragraph" w:customStyle="1" w:styleId="TableCaption">
    <w:name w:val="Table Caption"/>
    <w:basedOn w:val="ImageCaption"/>
    <w:qFormat/>
    <w:rsid w:val="00AE18EF"/>
  </w:style>
  <w:style w:type="table" w:styleId="Tableauprofessionnel">
    <w:name w:val="Table Professional"/>
    <w:basedOn w:val="TableauNormal"/>
    <w:uiPriority w:val="99"/>
    <w:semiHidden/>
    <w:unhideWhenUsed/>
    <w:rsid w:val="00C31EE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TM1">
    <w:name w:val="toc 1"/>
    <w:basedOn w:val="Normal"/>
    <w:next w:val="Normal"/>
    <w:autoRedefine/>
    <w:uiPriority w:val="39"/>
    <w:unhideWhenUsed/>
    <w:rsid w:val="00FB63E7"/>
    <w:pPr>
      <w:spacing w:after="100"/>
    </w:pPr>
  </w:style>
  <w:style w:type="paragraph" w:styleId="TM2">
    <w:name w:val="toc 2"/>
    <w:basedOn w:val="Normal"/>
    <w:next w:val="Normal"/>
    <w:autoRedefine/>
    <w:uiPriority w:val="39"/>
    <w:unhideWhenUsed/>
    <w:rsid w:val="00FB63E7"/>
    <w:pPr>
      <w:spacing w:after="100"/>
      <w:ind w:left="240"/>
    </w:pPr>
  </w:style>
  <w:style w:type="paragraph" w:styleId="Textedebulles">
    <w:name w:val="Balloon Text"/>
    <w:basedOn w:val="Normal"/>
    <w:link w:val="TextedebullesCar"/>
    <w:uiPriority w:val="99"/>
    <w:semiHidden/>
    <w:unhideWhenUsed/>
    <w:rsid w:val="00FB63E7"/>
    <w:rPr>
      <w:rFonts w:ascii="Lucida Grande" w:hAnsi="Lucida Grande"/>
      <w:sz w:val="18"/>
      <w:szCs w:val="18"/>
    </w:rPr>
  </w:style>
  <w:style w:type="character" w:customStyle="1" w:styleId="TextedebullesCar">
    <w:name w:val="Texte de bulles Car"/>
    <w:basedOn w:val="Policepardfaut"/>
    <w:link w:val="Textedebulles"/>
    <w:uiPriority w:val="99"/>
    <w:semiHidden/>
    <w:rsid w:val="00FB63E7"/>
    <w:rPr>
      <w:rFonts w:ascii="Lucida Grande" w:hAnsi="Lucida Grande"/>
      <w:sz w:val="18"/>
      <w:szCs w:val="18"/>
    </w:rPr>
  </w:style>
  <w:style w:type="character" w:customStyle="1" w:styleId="referenceid">
    <w:name w:val="reference_id"/>
    <w:basedOn w:val="Policepardfaut"/>
    <w:uiPriority w:val="1"/>
    <w:rsid w:val="00457CF1"/>
    <w:rPr>
      <w:vertAlign w:val="superscript"/>
    </w:rPr>
  </w:style>
  <w:style w:type="paragraph" w:customStyle="1" w:styleId="graphictitle">
    <w:name w:val="graphic title"/>
    <w:basedOn w:val="ImageCaption"/>
    <w:next w:val="Normal"/>
    <w:rsid w:val="0035500D"/>
  </w:style>
  <w:style w:type="paragraph" w:customStyle="1" w:styleId="tabletitle">
    <w:name w:val="table title"/>
    <w:basedOn w:val="TableCaption"/>
    <w:next w:val="Normal"/>
    <w:rsid w:val="00901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
<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itle/>
  <dc:subject/>
  <dc:creator>Metodolog.pl</dc:creator>
  <cp:keywords/>
  <dc:description/>
  <cp:lastModifiedBy>Metodolog.pl</cp:lastModifiedBy>
  <cp:revision>9</cp:revision>
  <dcterms:created xsi:type="dcterms:W3CDTF">2017-02-28T11:18:00Z</dcterms:created>
  <dcterms:modified xsi:type="dcterms:W3CDTF">2026-10-16T18:41:51Z</dcterms:modified>
  <cp:category/>
</cp:coreProperties>
</file>